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rPr>
          <w:rFonts w:ascii="黑体" w:hAnsi="黑体" w:eastAsia="黑体" w:cs="黑体"/>
          <w:sz w:val="32"/>
          <w:szCs w:val="30"/>
        </w:rPr>
      </w:pPr>
      <w:r>
        <w:rPr>
          <w:rFonts w:hint="eastAsia" w:ascii="黑体" w:hAnsi="黑体" w:eastAsia="黑体" w:cs="黑体"/>
          <w:sz w:val="32"/>
          <w:szCs w:val="30"/>
        </w:rPr>
        <w:t>附件</w:t>
      </w:r>
      <w:r>
        <w:rPr>
          <w:rFonts w:ascii="黑体" w:hAnsi="黑体" w:eastAsia="黑体" w:cs="黑体"/>
          <w:sz w:val="32"/>
          <w:szCs w:val="30"/>
        </w:rPr>
        <w:t>7</w:t>
      </w:r>
    </w:p>
    <w:p>
      <w:pPr>
        <w:pStyle w:val="12"/>
        <w:spacing w:line="600" w:lineRule="exact"/>
        <w:jc w:val="left"/>
        <w:rPr>
          <w:rFonts w:ascii="楷体_GB2312" w:eastAsia="楷体_GB2312"/>
          <w:sz w:val="32"/>
          <w:szCs w:val="30"/>
        </w:rPr>
      </w:pPr>
    </w:p>
    <w:p>
      <w:pPr>
        <w:pStyle w:val="2"/>
        <w:spacing w:line="60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信用风险内部评级法风险缓释监管要求</w:t>
      </w:r>
    </w:p>
    <w:p>
      <w:pPr>
        <w:spacing w:line="600" w:lineRule="exact"/>
        <w:jc w:val="center"/>
        <w:rPr>
          <w:rFonts w:ascii="仿宋_GB2312" w:hAnsi="黑体" w:eastAsia="仿宋_GB2312" w:cs="黑体"/>
          <w:b/>
          <w:sz w:val="36"/>
          <w:szCs w:val="36"/>
        </w:rPr>
      </w:pPr>
    </w:p>
    <w:p>
      <w:pPr>
        <w:pStyle w:val="3"/>
      </w:pPr>
      <w:r>
        <w:rPr>
          <w:rFonts w:hint="eastAsia"/>
        </w:rPr>
        <w:t>一、总体要求</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信用风险缓释是指商业银行运用合格的抵质押品、净额结算、保证和信用衍生工具等方式转移或降低信用风险。商业银行采用内部评级法计量信用风险监管资本，信用风险缓释功能体现为违约概率、违约损失率或违约风险暴露的下降。</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（二）信用风险缓释应遵循以下原则：</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1.合法性原则。信用风险缓释工具应符合国家法律规定，确保可实施。</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2.有效性原则。信用风险缓释工具应手续完备，确有代偿能力并易于实现。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3.审慎性原则。商业银行应考虑使用信用风险缓释工具可能带来的风险因素，保守估计信用风险缓释作用。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4.一致性原则。商业银行认定保证或信用衍生工具的信用风险缓释作用时，应对保证或信用衍生工具覆盖部分风险暴露使用与保证人或信用保护提供方直接风险暴露一致的计量方式。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5.独立性原则。信用风险缓释工具、因风险缓释带来的剩余风险与债务人风险之间不应具有实质的正相关性。</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（三）信用风险缓释管理的一般要求：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1.商业银行应进行有效的法律审查，确保认可和使用信用风险缓释工具时依据明确可执行的法律文件，且相关法律文件对交易各方均有约束力。</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2.商业银行应在相关协议中明确约定信用风险缓释覆盖的范围。 </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3.商业银行不能重复考虑信用风险缓释的作用。信用风险缓释作用只能在债务人评级、债项评级或违约风险暴露估计中反映一次。</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4.商业银行应保守地估计信用风险缓释工具与债务人风险之间的相关性，并综合考虑币种错配、期限错配等风险因素。</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5.商业银行应制定明确的内部管理制度、审查和操作流程，并建立相应的信息系统，确保信用风险缓释工具的作用有效发挥。</w:t>
      </w:r>
    </w:p>
    <w:p>
      <w:pPr>
        <w:pStyle w:val="3"/>
      </w:pPr>
      <w:r>
        <w:rPr>
          <w:rFonts w:hint="eastAsia"/>
        </w:rPr>
        <w:t>二、合格抵质押品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（一）合格抵质押品包括金融质押品、应收账款、商用房地产和居住用房地产以及其他抵质押品。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商业银行采用初级内部评级法，应在本附件第六部分规定范围认定合格抵质押品，并应同时满足本部分（二）和（三）中的有关要求。商业银行采用高级内部评级法，可在符合本部分（二）和（三）要求的前提下自行认定抵质押品，但应有历史数据证明抵质押品的风险缓释作用。</w:t>
      </w:r>
    </w:p>
    <w:p>
      <w:pPr>
        <w:spacing w:line="480" w:lineRule="exact"/>
        <w:ind w:firstLine="600" w:firstLineChars="200"/>
        <w:rPr>
          <w:rFonts w:ascii="仿宋_GB2312" w:hAnsi="仿宋" w:eastAsia="仿宋_GB2312" w:cs="仿宋"/>
          <w:b/>
          <w:sz w:val="30"/>
          <w:szCs w:val="30"/>
        </w:rPr>
      </w:pPr>
      <w:r>
        <w:rPr>
          <w:rFonts w:hint="eastAsia" w:ascii="仿宋_GB2312" w:hAnsi="仿宋" w:eastAsia="仿宋_GB2312" w:cs="仿宋"/>
          <w:sz w:val="30"/>
          <w:szCs w:val="30"/>
        </w:rPr>
        <w:t>再资产证券化不属于合格的金融质押品。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（二）合格抵质押品的认定要求：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1.抵质押品应是《中华人民共和国民法典》《中华人民共和国期货和衍生品法》等法律法规规定可以接受的财产或权利。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2.权属清晰，且抵质押品设定具有相应的法律文件。</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3.满足抵质押品可执行的必要条件，须经国家有关主管部门批准或者办理登记的，应按规定办理相应手续。</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4.存在有效处置抵质押品且流动性强的市场，并且可以得到合理的抵质押品的市场价格。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5.在债务人违约、无力偿还、破产或发生其他借款合同约定的信用事件时，商业银行能够及时地对债务人的抵质押品进行清算或处置。</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（三）商业银行应建立相应的抵质押品管理体系，包括健全完善的制度、估值方法、管理流程以及相应的信息系统：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1.商业银行应建立抵质押品管理制度，明确合格抵质押品的种类、抵质押率、抵质押品估值的方法及频率、对抵质押品监测以及抵质押品清收处置等相关要求。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抵质押品价值评估应坚持客观、独立和审慎的原则，评估价值不能超过当前合理的市场价值。商业银行应建立抵质押品评估价值的审定程序，并根据抵质押品的价值波动特性确定重新估值的方式和频率，市场波动大时应重新估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3.商业银行应建立抵质押品的调查和审查流程，确保抵质押真实、合法、有效，并建立及时、有效的清收抵质押品的程序。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应对抵质押品定期监测，并督促出质人或抵押人按照抵质押合同的约定履行各项义务。对抵质押品的收益评估应反映优先于银行受偿的抵质押权的范围及影响，并进行持续监测。商业银行应确保抵押品足额保险，并防止抵押人采用非合理方式使用抵押品导致其价值减少。</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5.如果抵质押品被托管方持有，商业银行应确保托管方将抵质押品与其自有资产分离，并对托管资产实物与账目进行有效动态管理。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商业银行应当建立抵质押品管理的信息系统，对抵质押品的名称、数量、质量、所在地、权属状况等基本信息，抵质押品的估值方法、频率、时间，抵质押品与债项的关联关系，以及抵质押品的处置清收信息等进行记录和管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7.商业银行认定商用房地产和居住用房地产为合格信用风险缓释工具，除满足前述1至6的要求外，还应满足以下管理要求：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满足债务人与抵押品之间的独立性原则。债务人的风险不应依赖于抵押品的表现，而应取决于债务人从其他来源偿还债务的能力，债务人还款来源不主要依赖于抵押品产生的现金流；抵押品的价值不主要取决于债务人的表现。专业贷款中产生收入的房地产不能作为公司风险暴露的合格抵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（2）商业银行应对作为抵押品的商用房地产和居住用房地产拥有第一顺位抵押权。</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（3）商业银行应至少每年对商用房地产和居住用房地产进行一次重新估值。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（4）商业银行接受的商用房地产和居住用房地产类别及取得该类抵押品的信贷政策（至少包括抵押率），应明确记录。</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（5）商业银行应采取措施确保作为抵押品的房地产有足额保险，以防其物质损害或折旧。</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（6）商业银行应持续监控抵押品项下的其他优先偿付义务（如纳税）对处置该抵押品的影响。</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（7）商业银行应有效监控抵押品可能面临的环保风险（如作为抵押品的房地产存放了有毒材料）。</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8.商业银行认定应收账款为合格信用风险缓释工具，除满足前述1至6的要求外，还应满足如下管理要求：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（1）确定应收账款价值时应当减去坏账准备。</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（2）应收账款作为质押品的法律机制健全，确保商业银行对质押品的收益有清晰的权利。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（3）商业银行应采取必要的措施，以满足质押品可执行的条件（如质押品登记的规定），并确保商业银行对质押品拥有第一顺位质押权。</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应确保质押交易依据明确可执行的法律文件，且法律文件对各相关方均有约束力。商业银行应进行充分的法律审查，并有充分的依据得出上述结论。必要时，商业银行应进行进一步审查，以确保法律文件持续可执行。</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商业银行应书面规定清晰、健全的应收账款清收程序，确保应收账款及时清收。清收程序应确保充分考虑了判定借款人违约并及时清收质押品的各类法律情形。如果借款人发生财务困难或违约，商业银行应有权不经过应收账款债务人同意，出售或转让该质押的应收账款。</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商业银行应建立应收账款信用风险的认定过程，包括定期分析借款人经营状况、财务状况、行业状况（如经济周期的影响）以及借款人上下游客户类别等。商业银行通过借款人确定应收账款风险时，应检查借款人信用政策的合理性和可信度。</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（7）应收账款质押贷款的质押率应反映所有适当的因素，包括清收成本、应收账款池内的集中度以及商业银行总风险暴露中的潜在集中度风险等。</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对于应收账款带来的当前以及潜在风险，特别是对于数目不多但金额较大的应收账款，商业银行应建立连续、适当的监控制度，包括账龄报告、贸易单据的控制情况、对质押品的定期审计、账户的确认、对付款账户收益的控制情况、集中度限额的执行情况、对稀释风险的分析（借款人对应收账款债务人提供的、能导致应收账款价值减少的信用），以及对借款人和应收账款债务人的定期财务分析。商业银行还应定期检查贷款合约的履行情况、环境方面的限制及其他法律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9）应收账款应保持分散，不得与借款人高度相关。若相关性较高时，如应收账款债务人的生存依赖于借款人或借款人与应收账款债务人属于同一行业，设定质押品池的总体质押率时，应考虑潜在的风险。借款人附属公司（包括子公司及其员工）作为债务人的应收账款不得作为合格的风险缓释工具。</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（10）商业银行应建立经济困难时期应收账款清收的书面程序。通常情况下即使商业银行通过借款人进行清收，也应具备相应的措施。</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9.商业银行认定存货为合格信用风险缓释工具，除满足前述1至6的要求外，还要建立如下程序监测存货风险：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（1）确保保管存货的仓储公司或现货交易市场等具有合法的主体资格、良好的商业信誉、完善的管理制度、专业的管理设备和技术、合格的管理人员以及高效的进出库信息传递系统。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（2）充分分析市场供求关系和市场前景，确定存货的市场价值。存货价值评估应采用历史成本和市场价值孰低法。对于滞销、积压、降价销售产品，应根据其可收回净收益确定评估值。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（3）对存货应定期进行实物检查。</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10.商业银行认定其他抵质押品为合格信用风险缓释工具，应向国家金融监督管理总局证明存在流动性强的市场,能够及时、经济、有效地处置抵质押品。银行应定期评估该条件,当有信息表明市场发生重大变化时,也应进行评估。商业银行还应向国家金融监督管理总局证明存在已建立的、公开可得的抵质押品市场价格，且其抵质押品变现时所获得的价格没有明显偏离市场价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除满足上述要求以及前述1至6的要求外，其他实物抵押品的认定还应满足下列要求：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（1）只允许抵押品的第一顺位抵押权，以保证商业银行对抵押品已实现的收益拥有超过其他所有债权人的优先权。 </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（2）贷款协议应包括对抵押品的详细描述，并明确银行有权对抵押品进行检查和重新估值。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（3）商业银行可接受的实物抵押品的种类以及各类实物抵押品贷款的抵押率应符合相应的政策规定，且在内部信贷政策和程序中明确记录，并且可供检查和审计。</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应根据以下情况提出适当的抵押品管理要求：贷款金额、及时变现抵押品的能力、客观地确定价格或市场价值的能力、及时估值的频率（包括专业人员的评估或估值）和抵押品价值的波动情况等。定期重估过程应特别关注“受流行趋势影响较大”的抵押品，以保证估值能按照流行趋势的变化、新款推出的时间、过时情况及抵押品实物的损害或折旧状况而适当的向下调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（5）对其他抵押品应定期进行实物检查。</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11.以通用担保协议或其他形式开展的浮动抵押，若已注册登记的抵质押品同时包含初级内部评级法下不合格抵质押品和合格抵质押品，商业银行应仅认定合格抵质押品的信用风险缓释作用。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12.商业银行认定租赁资产为合格信用风险缓释工具，应充分考虑租赁资产的残值风险。残值风险是指设备的公允价值下降并低于租赁初始对残值的估值，而导致银行面临潜在损失的风险。若商业银行不承担租赁残值风险，在满足前述1至6、7、10的要求的基础上，还应满足以下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（1）商业银行作为出租人应具有稳健的风险管理能力，全面掌握租赁资产的位置、用途、使用年限以及报废计划等信息。</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（2）租赁资产的法律机制健全，确保商业银行作为出租人拥有对租赁资产的合法所有权且能够及时行权。</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（3）实物资产折旧率和租赁款摊还率之间的差异不应过大，以至高估租赁资产的风险缓释作用。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商业银行应投入充足的资源，确保场外衍生工具和证券融资交易对手的保证金协议得到有效执行。是否有效执行的衡量标准是发出补充保证金要求的及时性、准确性以及补交保证金的及时性。商业银行应具备相应的抵质押品管理政策，并控制、监测和报告以下方面：</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1.保证金协议带来的风险暴露（如作为质押品的证券的波动性和流动性情况）。</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2.特定质押品类别的集中度风险。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3.质押品（包括现金和非现金）的再使用情况，包括再使用交易对手提交的质押品导致的潜在流动性短缺风险。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4.因将质押品质押给交易对手而放弃的权利。</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（五）采用初级内部评级法的商业银行，抵质押品的信用风险缓释作用体现为对违约损失率的调整。在使用单种抵质押品时，调整后的违约损失率为:</w:t>
      </w:r>
    </w:p>
    <w:p>
      <w:pPr>
        <w:ind w:firstLine="560" w:firstLineChars="200"/>
        <w:rPr>
          <w:rFonts w:ascii="仿宋_GB2312" w:hAnsi="仿宋" w:eastAsia="仿宋_GB2312" w:cs="仿宋"/>
          <w:sz w:val="28"/>
          <w:szCs w:val="28"/>
        </w:rPr>
      </w:pPr>
      <m:oMathPara>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LGD</m:t>
              </m:r>
              <m:ctrlPr>
                <w:rPr>
                  <w:rFonts w:ascii="Cambria Math" w:hAnsi="Cambria Math" w:eastAsia="仿宋_GB2312" w:cs="仿宋"/>
                  <w:i/>
                  <w:sz w:val="28"/>
                  <w:szCs w:val="28"/>
                </w:rPr>
              </m:ctrlPr>
            </m:e>
            <m:sup>
              <m:r>
                <m:rPr/>
                <w:rPr>
                  <w:rFonts w:hint="eastAsia" w:ascii="Cambria Math" w:hAnsi="Cambria Math" w:eastAsia="仿宋_GB2312" w:cs="仿宋"/>
                  <w:sz w:val="28"/>
                  <w:szCs w:val="28"/>
                </w:rPr>
                <m:t>∗</m:t>
              </m:r>
              <m:ctrlPr>
                <w:rPr>
                  <w:rFonts w:ascii="Cambria Math" w:hAnsi="Cambria Math" w:eastAsia="仿宋_GB2312" w:cs="仿宋"/>
                  <w:i/>
                  <w:sz w:val="28"/>
                  <w:szCs w:val="28"/>
                </w:rPr>
              </m:ctrlPr>
            </m:sup>
          </m:sSup>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oMath>
      </m:oMathPara>
    </w:p>
    <w:p>
      <w:pPr>
        <w:spacing w:line="48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是抵质押品覆盖部分的违约损失率。</w:t>
      </w:r>
    </w:p>
    <w:p>
      <w:pPr>
        <w:spacing w:line="48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2.</w:t>
      </w:r>
      <m:oMath>
        <m:r>
          <m:rPr/>
          <w:rPr>
            <w:rFonts w:ascii="Cambria Math" w:hAnsi="Cambria Math" w:eastAsia="仿宋_GB2312" w:cs="仿宋"/>
            <w:sz w:val="28"/>
            <w:szCs w:val="28"/>
          </w:rPr>
          <m:t>E</m:t>
        </m:r>
      </m:oMath>
      <w:r>
        <w:rPr>
          <w:rFonts w:hint="eastAsia" w:ascii="仿宋_GB2312" w:hAnsi="仿宋" w:eastAsia="仿宋_GB2312" w:cs="仿宋"/>
          <w:sz w:val="30"/>
          <w:szCs w:val="30"/>
        </w:rPr>
        <w:t>是风险暴露的当前值。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是风险暴露折扣系数，商业银行借出证券，应使用</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对</w:t>
      </w:r>
      <m:oMath>
        <m:r>
          <m:rPr/>
          <w:rPr>
            <w:rFonts w:ascii="Cambria Math" w:hAnsi="Cambria Math" w:eastAsia="仿宋_GB2312" w:cs="仿宋"/>
            <w:sz w:val="28"/>
            <w:szCs w:val="28"/>
          </w:rPr>
          <m:t>E</m:t>
        </m:r>
      </m:oMath>
      <w:r>
        <w:rPr>
          <w:rFonts w:hint="eastAsia" w:ascii="仿宋_GB2312" w:hAnsi="仿宋" w:eastAsia="仿宋_GB2312" w:cs="仿宋"/>
          <w:sz w:val="30"/>
          <w:szCs w:val="30"/>
        </w:rPr>
        <w:t>进行调整。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是抵质押品经折扣系数调整后的当前价值，按如下公式计算，且不得超过</w:t>
      </w:r>
      <m:oMath>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oMath>
      <w:r>
        <w:rPr>
          <w:rFonts w:hint="eastAsia" w:ascii="仿宋_GB2312" w:hAnsi="仿宋" w:eastAsia="仿宋_GB2312" w:cs="仿宋"/>
          <w:sz w:val="30"/>
          <w:szCs w:val="30"/>
        </w:rPr>
        <w:t>：</w:t>
      </w:r>
    </w:p>
    <w:p>
      <w:pPr>
        <w:ind w:firstLine="560" w:firstLineChars="200"/>
        <w:rPr>
          <w:rFonts w:ascii="仿宋_GB2312" w:hAnsi="仿宋" w:eastAsia="仿宋_GB2312" w:cs="仿宋"/>
          <w:i/>
          <w:sz w:val="30"/>
          <w:szCs w:val="30"/>
        </w:rPr>
      </w:pPr>
      <m:oMathPara>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r>
            <m:rPr/>
            <w:rPr>
              <w:rFonts w:ascii="Cambria Math" w:hAnsi="Cambria Math" w:eastAsia="仿宋_GB2312" w:cs="仿宋"/>
              <w:sz w:val="28"/>
              <w:szCs w:val="28"/>
            </w:rPr>
            <m:t>=C×(1−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r>
            <m:rPr/>
            <w:rPr>
              <w:rFonts w:ascii="Cambria Math" w:hAnsi="Cambria Math" w:eastAsia="仿宋_GB2312" w:cs="仿宋"/>
              <w:sz w:val="28"/>
              <w:szCs w:val="28"/>
            </w:rPr>
            <m:t>)</m:t>
          </m:r>
        </m:oMath>
      </m:oMathPara>
    </w:p>
    <w:p>
      <w:pPr>
        <w:spacing w:line="48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（1）</w:t>
      </w:r>
      <m:oMath>
        <m:r>
          <m:rPr/>
          <w:rPr>
            <w:rFonts w:ascii="Cambria Math" w:hAnsi="Cambria Math" w:eastAsia="仿宋_GB2312" w:cs="仿宋"/>
            <w:sz w:val="28"/>
            <w:szCs w:val="28"/>
          </w:rPr>
          <m:t>C</m:t>
        </m:r>
      </m:oMath>
      <w:r>
        <w:rPr>
          <w:rFonts w:hint="eastAsia" w:ascii="仿宋_GB2312" w:hAnsi="仿宋" w:eastAsia="仿宋_GB2312" w:cs="仿宋"/>
          <w:sz w:val="30"/>
          <w:szCs w:val="30"/>
        </w:rPr>
        <w:t>是抵质押品的当前价值。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是抵质押品折扣系数。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w:t>
      </w:r>
      <w:r>
        <w:rPr>
          <w:rFonts w:ascii="仿宋_GB2312" w:hAnsi="仿宋" w:eastAsia="仿宋_GB2312" w:cs="仿宋"/>
          <w:sz w:val="30"/>
          <w:szCs w:val="30"/>
        </w:rPr>
        <w:t>3</w:t>
      </w:r>
      <w:r>
        <w:rPr>
          <w:rFonts w:hint="eastAsia" w:ascii="仿宋_GB2312" w:hAnsi="仿宋" w:eastAsia="仿宋_GB2312" w:cs="仿宋"/>
          <w:sz w:val="30"/>
          <w:szCs w:val="30"/>
        </w:rPr>
        <w:t>）</w:t>
      </w:r>
      <m:oMath>
        <m:sSub>
          <m:sSubPr>
            <m:ctrlPr>
              <w:rPr>
                <w:rFonts w:ascii="Cambria Math" w:hAnsi="Cambria Math" w:eastAsia="仿宋_GB2312" w:cs="仿宋"/>
                <w:sz w:val="30"/>
                <w:szCs w:val="30"/>
              </w:rPr>
            </m:ctrlPr>
          </m:sSubPr>
          <m:e>
            <m:r>
              <m:rPr/>
              <w:rPr>
                <w:rFonts w:ascii="Cambria Math" w:hAnsi="Cambria Math" w:eastAsia="仿宋_GB2312" w:cs="仿宋"/>
                <w:sz w:val="30"/>
                <w:szCs w:val="30"/>
              </w:rPr>
              <m:t>H</m:t>
            </m:r>
            <m:ctrlPr>
              <w:rPr>
                <w:rFonts w:ascii="Cambria Math" w:hAnsi="Cambria Math" w:eastAsia="仿宋_GB2312" w:cs="仿宋"/>
                <w:sz w:val="30"/>
                <w:szCs w:val="30"/>
              </w:rPr>
            </m:ctrlPr>
          </m:e>
          <m:sub>
            <m:r>
              <m:rPr/>
              <w:rPr>
                <w:rFonts w:ascii="Cambria Math" w:hAnsi="Cambria Math" w:eastAsia="仿宋_GB2312" w:cs="仿宋"/>
                <w:sz w:val="30"/>
                <w:szCs w:val="30"/>
              </w:rPr>
              <m:t>fx</m:t>
            </m:r>
            <m:ctrlPr>
              <w:rPr>
                <w:rFonts w:ascii="Cambria Math" w:hAnsi="Cambria Math" w:eastAsia="仿宋_GB2312" w:cs="仿宋"/>
                <w:sz w:val="30"/>
                <w:szCs w:val="30"/>
              </w:rPr>
            </m:ctrlPr>
          </m:sub>
        </m:sSub>
      </m:oMath>
      <w:r>
        <w:rPr>
          <w:rFonts w:hint="eastAsia" w:ascii="仿宋_GB2312" w:hAnsi="仿宋" w:eastAsia="仿宋_GB2312" w:cs="仿宋"/>
          <w:sz w:val="30"/>
          <w:szCs w:val="30"/>
        </w:rPr>
        <w:t>是抵质押品和风险暴露币种错配的折扣系数。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是无抵质押品覆盖部分的违约损失率。</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r>
          <m:rPr/>
          <w:rPr>
            <w:rFonts w:ascii="Cambria Math" w:hAnsi="Cambria Math" w:eastAsia="仿宋_GB2312" w:cs="仿宋"/>
            <w:sz w:val="28"/>
            <w:szCs w:val="28"/>
          </w:rPr>
          <m:t>=E×</m:t>
        </m:r>
        <m:d>
          <m:dPr>
            <m:ctrlPr>
              <w:rPr>
                <w:rFonts w:ascii="Cambria Math" w:hAnsi="Cambria Math" w:eastAsia="仿宋_GB2312" w:cs="仿宋"/>
                <w:i/>
                <w:sz w:val="28"/>
                <w:szCs w:val="28"/>
              </w:rPr>
            </m:ctrlPr>
          </m:dPr>
          <m:e>
            <m:r>
              <m:rPr/>
              <w:rPr>
                <w:rFonts w:ascii="Cambria Math" w:hAnsi="Cambria Math" w:eastAsia="仿宋_GB2312" w:cs="仿宋"/>
                <w:sz w:val="28"/>
                <w:szCs w:val="28"/>
              </w:rPr>
              <m:t>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e>
        </m:d>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28"/>
          <w:szCs w:val="28"/>
        </w:rPr>
        <w:t>。</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仅用于计算</w:t>
      </w:r>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LGD</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oMath>
      <w:r>
        <w:rPr>
          <w:rFonts w:hint="eastAsia" w:ascii="仿宋_GB2312" w:hAnsi="仿宋" w:eastAsia="仿宋_GB2312" w:cs="仿宋"/>
          <w:sz w:val="30"/>
          <w:szCs w:val="30"/>
        </w:rPr>
        <w:t>。商业银行计算违约风险暴露时不应考虑抵质押品的缓释作用，另有规定除外。</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8.抵质押品覆盖部分的违约损失率</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和风险暴露折扣系数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、抵质押品折扣系数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见下表：</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表1 初级内部评级法违约损失率和折扣系数</w:t>
      </w:r>
    </w:p>
    <w:tbl>
      <w:tblPr>
        <w:tblStyle w:val="14"/>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45"/>
        <w:gridCol w:w="2151"/>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tblHeader/>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抵质押品种类</w:t>
            </w:r>
          </w:p>
        </w:tc>
        <w:tc>
          <w:tcPr>
            <w:tcW w:w="2151" w:type="dxa"/>
            <w:vAlign w:val="center"/>
          </w:tcPr>
          <w:p>
            <w:pPr>
              <w:jc w:val="center"/>
              <w:rPr>
                <w:rFonts w:asciiTheme="minorEastAsia" w:hAnsiTheme="minorEastAsia" w:cstheme="minorEastAsia"/>
                <w:sz w:val="24"/>
              </w:rPr>
            </w:pPr>
            <m:oMathPara>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m:oMathPara>
          </w:p>
        </w:tc>
        <w:tc>
          <w:tcPr>
            <w:tcW w:w="238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Theme="minorEastAsia" w:hAnsiTheme="minorEastAsia" w:cstheme="minorEastAsia"/>
                <w:sz w:val="24"/>
              </w:rPr>
              <w:t>、</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tblHeader/>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合格金融质押品</w:t>
            </w:r>
          </w:p>
        </w:tc>
        <w:tc>
          <w:tcPr>
            <w:tcW w:w="2151" w:type="dxa"/>
            <w:vAlign w:val="center"/>
          </w:tcPr>
          <w:p>
            <w:pPr>
              <w:jc w:val="center"/>
              <w:rPr>
                <w:rFonts w:asciiTheme="minorEastAsia" w:hAnsiTheme="minorEastAsia" w:cstheme="minorEastAsia"/>
                <w:sz w:val="24"/>
              </w:rPr>
            </w:pPr>
            <w:r>
              <w:rPr>
                <w:rFonts w:asciiTheme="minorEastAsia" w:hAnsiTheme="minorEastAsia" w:cstheme="minorEastAsia"/>
                <w:sz w:val="24"/>
              </w:rPr>
              <w:t>0%</w:t>
            </w:r>
          </w:p>
        </w:tc>
        <w:tc>
          <w:tcPr>
            <w:tcW w:w="238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见本附件第七部分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合格应收账款</w:t>
            </w:r>
          </w:p>
        </w:tc>
        <w:tc>
          <w:tcPr>
            <w:tcW w:w="2151" w:type="dxa"/>
            <w:vAlign w:val="center"/>
          </w:tcPr>
          <w:p>
            <w:pPr>
              <w:jc w:val="center"/>
              <w:rPr>
                <w:rFonts w:asciiTheme="minorEastAsia" w:hAnsiTheme="minorEastAsia" w:cstheme="minorEastAsia"/>
                <w:sz w:val="24"/>
              </w:rPr>
            </w:pPr>
            <w:r>
              <w:rPr>
                <w:rFonts w:asciiTheme="minorEastAsia" w:hAnsiTheme="minorEastAsia" w:cstheme="minorEastAsia"/>
                <w:sz w:val="24"/>
              </w:rPr>
              <w:t>20%</w:t>
            </w:r>
          </w:p>
        </w:tc>
        <w:tc>
          <w:tcPr>
            <w:tcW w:w="2385" w:type="dxa"/>
            <w:vAlign w:val="center"/>
          </w:tcPr>
          <w:p>
            <w:pPr>
              <w:jc w:val="center"/>
              <w:rPr>
                <w:rFonts w:asciiTheme="minorEastAsia" w:hAnsiTheme="minorEastAsia" w:cstheme="minorEastAsia"/>
                <w:sz w:val="24"/>
              </w:rPr>
            </w:pPr>
            <w:r>
              <w:rPr>
                <w:rFonts w:asciiTheme="minorEastAsia" w:hAnsiTheme="minorEastAsia" w:cstheme="minor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合格商用房地产和居住用房地产</w:t>
            </w:r>
          </w:p>
        </w:tc>
        <w:tc>
          <w:tcPr>
            <w:tcW w:w="2151" w:type="dxa"/>
            <w:vAlign w:val="center"/>
          </w:tcPr>
          <w:p>
            <w:pPr>
              <w:jc w:val="center"/>
              <w:rPr>
                <w:rFonts w:asciiTheme="minorEastAsia" w:hAnsiTheme="minorEastAsia" w:cstheme="minorEastAsia"/>
                <w:sz w:val="24"/>
              </w:rPr>
            </w:pPr>
            <w:r>
              <w:rPr>
                <w:rFonts w:asciiTheme="minorEastAsia" w:hAnsiTheme="minorEastAsia" w:cstheme="minorEastAsia"/>
                <w:sz w:val="24"/>
              </w:rPr>
              <w:t>20%</w:t>
            </w:r>
          </w:p>
        </w:tc>
        <w:tc>
          <w:tcPr>
            <w:tcW w:w="2385" w:type="dxa"/>
            <w:vAlign w:val="center"/>
          </w:tcPr>
          <w:p>
            <w:pPr>
              <w:jc w:val="center"/>
              <w:rPr>
                <w:rFonts w:asciiTheme="minorEastAsia" w:hAnsiTheme="minorEastAsia" w:cstheme="minorEastAsia"/>
                <w:sz w:val="24"/>
              </w:rPr>
            </w:pPr>
            <w:r>
              <w:rPr>
                <w:rFonts w:asciiTheme="minorEastAsia" w:hAnsiTheme="minorEastAsia" w:cstheme="minor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其他合格抵质押品</w:t>
            </w:r>
          </w:p>
        </w:tc>
        <w:tc>
          <w:tcPr>
            <w:tcW w:w="2151" w:type="dxa"/>
            <w:vAlign w:val="center"/>
          </w:tcPr>
          <w:p>
            <w:pPr>
              <w:jc w:val="center"/>
              <w:rPr>
                <w:rFonts w:asciiTheme="minorEastAsia" w:hAnsiTheme="minorEastAsia" w:cstheme="minorEastAsia"/>
                <w:sz w:val="24"/>
              </w:rPr>
            </w:pPr>
            <w:r>
              <w:rPr>
                <w:rFonts w:asciiTheme="minorEastAsia" w:hAnsiTheme="minorEastAsia" w:cstheme="minorEastAsia"/>
                <w:sz w:val="24"/>
              </w:rPr>
              <w:t>25%</w:t>
            </w:r>
          </w:p>
        </w:tc>
        <w:tc>
          <w:tcPr>
            <w:tcW w:w="2385" w:type="dxa"/>
            <w:vAlign w:val="center"/>
          </w:tcPr>
          <w:p>
            <w:pPr>
              <w:jc w:val="center"/>
              <w:rPr>
                <w:rFonts w:asciiTheme="minorEastAsia" w:hAnsiTheme="minorEastAsia" w:cstheme="minorEastAsia"/>
                <w:sz w:val="24"/>
              </w:rPr>
            </w:pPr>
            <w:r>
              <w:rPr>
                <w:rFonts w:asciiTheme="minorEastAsia" w:hAnsiTheme="minorEastAsia" w:cstheme="minor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64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不合格抵质押品</w:t>
            </w:r>
          </w:p>
        </w:tc>
        <w:tc>
          <w:tcPr>
            <w:tcW w:w="215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不适用</w:t>
            </w:r>
          </w:p>
        </w:tc>
        <w:tc>
          <w:tcPr>
            <w:tcW w:w="2385" w:type="dxa"/>
            <w:vAlign w:val="center"/>
          </w:tcPr>
          <w:p>
            <w:pPr>
              <w:jc w:val="center"/>
              <w:rPr>
                <w:rFonts w:asciiTheme="minorEastAsia" w:hAnsiTheme="minorEastAsia" w:cstheme="minorEastAsia"/>
                <w:sz w:val="24"/>
              </w:rPr>
            </w:pPr>
            <w:r>
              <w:rPr>
                <w:rFonts w:asciiTheme="minorEastAsia" w:hAnsiTheme="minorEastAsia" w:cstheme="minorEastAsia"/>
                <w:sz w:val="24"/>
              </w:rPr>
              <w:t>100%</w:t>
            </w:r>
          </w:p>
        </w:tc>
      </w:tr>
    </w:tbl>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当交易为逐日盯市、逐日调整保证金且最低持有期为10个交易日时，</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的标准折扣系数为8%，合格金融质押品的</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的标准折扣系数见本附件第七部分；对不同最低持有期限或再评估频率的交易，商业银行应根据本附件第七部分的规定调整</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position w:val="-14"/>
          <w:sz w:val="30"/>
          <w:szCs w:val="30"/>
        </w:rPr>
        <w:t>、</w:t>
      </w:r>
      <w:r>
        <w:rPr>
          <w:rFonts w:hint="eastAsia" w:ascii="仿宋_GB2312" w:hAnsi="仿宋" w:eastAsia="仿宋_GB2312" w:cs="仿宋"/>
          <w:sz w:val="30"/>
          <w:szCs w:val="30"/>
        </w:rPr>
        <w:t>合格金融质押品的</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六）信用风险缓释工具的剩余期限比当前风险暴露的剩余期限短时，商业银行应考虑期限错配的影响。存在期限错配时，若信用风险缓释工具的原始期限不足1年或剩余期限不足3个月，则不具有信用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1.对合格信用风险缓释工具的期限错配按下式调整：</w:t>
      </w:r>
    </w:p>
    <w:p>
      <w:pPr>
        <w:ind w:firstLine="560" w:firstLineChars="200"/>
        <w:rPr>
          <w:rFonts w:ascii="仿宋_GB2312" w:hAnsi="仿宋" w:eastAsia="仿宋_GB2312" w:cs="仿宋"/>
          <w:sz w:val="28"/>
          <w:szCs w:val="28"/>
        </w:rPr>
      </w:pPr>
      <m:oMathPara>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P</m:t>
              </m:r>
              <m:ctrlPr>
                <w:rPr>
                  <w:rFonts w:ascii="Cambria Math" w:hAnsi="Cambria Math" w:eastAsia="仿宋_GB2312" w:cs="仿宋"/>
                  <w:i/>
                  <w:sz w:val="28"/>
                  <w:szCs w:val="28"/>
                </w:rPr>
              </m:ctrlPr>
            </m:e>
            <m:sub>
              <m:r>
                <m:rPr/>
                <w:rPr>
                  <w:rFonts w:ascii="Cambria Math" w:hAnsi="Cambria Math" w:eastAsia="仿宋_GB2312" w:cs="仿宋"/>
                  <w:sz w:val="28"/>
                  <w:szCs w:val="28"/>
                </w:rPr>
                <m:t>a</m:t>
              </m:r>
              <m:ctrlPr>
                <w:rPr>
                  <w:rFonts w:ascii="Cambria Math" w:hAnsi="Cambria Math" w:eastAsia="仿宋_GB2312" w:cs="仿宋"/>
                  <w:i/>
                  <w:sz w:val="28"/>
                  <w:szCs w:val="28"/>
                </w:rPr>
              </m:ctrlPr>
            </m:sub>
          </m:sSub>
          <m:r>
            <m:rPr/>
            <w:rPr>
              <w:rFonts w:ascii="Cambria Math" w:hAnsi="Cambria Math" w:eastAsia="仿宋_GB2312" w:cs="仿宋"/>
              <w:sz w:val="28"/>
              <w:szCs w:val="28"/>
            </w:rPr>
            <m:t>=P×(t−0.25)/(T−0.25)</m:t>
          </m:r>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P</m:t>
            </m:r>
            <m:ctrlPr>
              <w:rPr>
                <w:rFonts w:ascii="Cambria Math" w:hAnsi="Cambria Math" w:eastAsia="仿宋_GB2312" w:cs="仿宋"/>
                <w:i/>
                <w:sz w:val="28"/>
                <w:szCs w:val="28"/>
              </w:rPr>
            </m:ctrlPr>
          </m:e>
          <m:sub>
            <m:r>
              <m:rPr/>
              <w:rPr>
                <w:rFonts w:ascii="Cambria Math" w:hAnsi="Cambria Math" w:eastAsia="仿宋_GB2312" w:cs="仿宋"/>
                <w:sz w:val="28"/>
                <w:szCs w:val="28"/>
              </w:rPr>
              <m:t>a</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为期限错配因素调整后的信用风险缓释价值；</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P</m:t>
        </m:r>
      </m:oMath>
      <w:r>
        <w:rPr>
          <w:rFonts w:hint="eastAsia" w:ascii="仿宋_GB2312" w:hAnsi="仿宋" w:eastAsia="仿宋_GB2312" w:cs="仿宋"/>
          <w:sz w:val="30"/>
          <w:szCs w:val="30"/>
        </w:rPr>
        <w:t>为期限错配因素调整前经各种折扣系数调整后的信用风险缓释价值；</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T</m:t>
        </m:r>
      </m:oMath>
      <w:r>
        <w:rPr>
          <w:rFonts w:hint="eastAsia" w:ascii="仿宋_GB2312" w:hAnsi="仿宋" w:eastAsia="仿宋_GB2312" w:cs="仿宋"/>
          <w:sz w:val="30"/>
          <w:szCs w:val="30"/>
        </w:rPr>
        <w:t>为风险暴露的剩余期限与5之间的较小值，以年表示；</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t</m:t>
        </m:r>
      </m:oMath>
      <w:r>
        <w:rPr>
          <w:rFonts w:hint="eastAsia" w:ascii="仿宋_GB2312" w:hAnsi="仿宋" w:eastAsia="仿宋_GB2312" w:cs="仿宋"/>
          <w:sz w:val="30"/>
          <w:szCs w:val="30"/>
        </w:rPr>
        <w:t>为信用保护的剩余期限与T之间的较小值，以年表示。</w:t>
      </w:r>
    </w:p>
    <w:p>
      <w:pPr>
        <w:numPr>
          <w:ilvl w:val="255"/>
          <w:numId w:val="0"/>
        </w:numPr>
        <w:spacing w:line="480" w:lineRule="exact"/>
        <w:ind w:firstLine="600" w:firstLineChars="200"/>
        <w:rPr>
          <w:rFonts w:ascii="仿宋_GB2312" w:hAnsi="Times New Roman" w:eastAsia="仿宋_GB2312" w:cs="Times New Roman"/>
          <w:sz w:val="30"/>
          <w:szCs w:val="30"/>
        </w:rPr>
      </w:pPr>
      <w:r>
        <w:rPr>
          <w:rFonts w:hint="eastAsia" w:ascii="仿宋_GB2312" w:hAnsi="仿宋" w:eastAsia="仿宋_GB2312" w:cs="仿宋"/>
          <w:sz w:val="30"/>
          <w:szCs w:val="30"/>
        </w:rPr>
        <w:t>2.</w:t>
      </w:r>
      <w:r>
        <w:rPr>
          <w:rFonts w:hint="eastAsia" w:ascii="仿宋_GB2312" w:hAnsi="Times New Roman" w:eastAsia="仿宋_GB2312" w:cs="Times New Roman"/>
          <w:sz w:val="30"/>
          <w:szCs w:val="30"/>
        </w:rPr>
        <w:t>合格质物的剩余期限短于风险暴露剩余期限的，若交易双方在担保合同中约定了质物的补充、置换机制，能够确保风险暴露剩余期限被完全覆盖的，不视为存在期限错配。若无上述机制安排，则应视为存在期限错配。</w:t>
      </w:r>
    </w:p>
    <w:p>
      <w:pPr>
        <w:spacing w:line="480" w:lineRule="exact"/>
        <w:ind w:firstLine="600" w:firstLineChars="200"/>
        <w:rPr>
          <w:rFonts w:ascii="仿宋_GB2312" w:hAnsi="仿宋" w:eastAsia="仿宋_GB2312" w:cs="仿宋"/>
          <w:sz w:val="30"/>
          <w:szCs w:val="30"/>
        </w:rPr>
      </w:pPr>
      <w:r>
        <w:rPr>
          <w:rFonts w:hint="eastAsia" w:ascii="仿宋_GB2312" w:hAnsi="Times New Roman" w:eastAsia="仿宋_GB2312" w:cs="Times New Roman"/>
          <w:sz w:val="30"/>
          <w:szCs w:val="30"/>
        </w:rPr>
        <w:t>3</w:t>
      </w:r>
      <w:r>
        <w:rPr>
          <w:rFonts w:hint="eastAsia" w:ascii="仿宋_GB2312" w:hAnsi="仿宋" w:eastAsia="仿宋_GB2312" w:cs="仿宋"/>
          <w:sz w:val="30"/>
          <w:szCs w:val="30"/>
        </w:rPr>
        <w:t>.期限错配的规定同样适用于净额结算、保证和信用衍生工具的情况。</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七）采用初级内部评级法的商业银行，利用多种形式抵质押品对同一风险暴露共同担保时，需要将风险暴露拆分为由不同抵质押品覆盖的部分，采用本部分（五）中的公式，对每类抵质押品依次计算。拆分按金融质押品、应收账款、商用房地产和居住用房地产以及其他抵质押品的顺序进行。风险暴露价值分成完全由金融质押品质押部分、完全由应收账款质押部分、完全由商用房地产和居住用房地产抵押部分、完全由其他抵质押品担保部分及无抵质押部分。调整后的违约损失率为：</w:t>
      </w:r>
    </w:p>
    <w:p>
      <w:pPr>
        <w:rPr>
          <w:rFonts w:ascii="仿宋_GB2312" w:hAnsi="仿宋" w:eastAsia="仿宋_GB2312" w:cs="仿宋"/>
          <w:sz w:val="28"/>
          <w:szCs w:val="28"/>
        </w:rPr>
      </w:pPr>
      <m:oMathPara>
        <m:oMathParaPr>
          <m:jc m:val="center"/>
        </m:oMathParaPr>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LGD</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r>
            <m:rPr/>
            <w:rPr>
              <w:rFonts w:ascii="Cambria Math" w:hAnsi="Cambria Math" w:eastAsia="仿宋_GB2312" w:cs="仿宋"/>
              <w:sz w:val="28"/>
              <w:szCs w:val="28"/>
            </w:rPr>
            <m:t>+</m:t>
          </m:r>
          <m:nary>
            <m:naryPr>
              <m:chr m:val="∑"/>
              <m:limLoc m:val="undOvr"/>
              <m:supHide m:val="1"/>
              <m:ctrlPr>
                <w:rPr>
                  <w:rFonts w:ascii="Cambria Math" w:hAnsi="Cambria Math" w:eastAsia="仿宋_GB2312" w:cs="仿宋"/>
                  <w:i/>
                  <w:sz w:val="28"/>
                  <w:szCs w:val="28"/>
                </w:rPr>
              </m:ctrlPr>
            </m:naryPr>
            <m:sub>
              <m:r>
                <m:rPr/>
                <w:rPr>
                  <w:rFonts w:ascii="Cambria Math" w:hAnsi="Cambria Math" w:eastAsia="仿宋_GB2312" w:cs="仿宋"/>
                  <w:sz w:val="28"/>
                  <w:szCs w:val="28"/>
                </w:rPr>
                <m:t>i</m:t>
              </m:r>
              <m:ctrlPr>
                <w:rPr>
                  <w:rFonts w:ascii="Cambria Math" w:hAnsi="Cambria Math" w:eastAsia="仿宋_GB2312" w:cs="仿宋"/>
                  <w:i/>
                  <w:sz w:val="28"/>
                  <w:szCs w:val="28"/>
                </w:rPr>
              </m:ctrlPr>
            </m:sub>
            <m:sup>
              <m:ctrlPr>
                <w:rPr>
                  <w:rFonts w:ascii="Cambria Math" w:hAnsi="Cambria Math" w:eastAsia="仿宋_GB2312" w:cs="仿宋"/>
                  <w:i/>
                  <w:sz w:val="28"/>
                  <w:szCs w:val="28"/>
                </w:rPr>
              </m:ctrlPr>
            </m:sup>
            <m:e>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s</m:t>
                      </m:r>
                      <m:ctrlPr>
                        <w:rPr>
                          <w:rFonts w:ascii="Cambria Math" w:hAnsi="Cambria Math" w:eastAsia="仿宋_GB2312" w:cs="仿宋"/>
                          <w:i/>
                          <w:sz w:val="28"/>
                          <w:szCs w:val="28"/>
                        </w:rPr>
                      </m:ctrlPr>
                    </m:e>
                    <m:sub>
                      <m:r>
                        <m:rPr/>
                        <w:rPr>
                          <w:rFonts w:ascii="Cambria Math" w:hAnsi="Cambria Math" w:eastAsia="仿宋_GB2312" w:cs="仿宋"/>
                          <w:sz w:val="28"/>
                          <w:szCs w:val="28"/>
                        </w:rPr>
                        <m:t>i</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sub>
              </m:sSub>
              <m:ctrlPr>
                <w:rPr>
                  <w:rFonts w:ascii="Cambria Math" w:hAnsi="Cambria Math" w:eastAsia="仿宋_GB2312" w:cs="仿宋"/>
                  <w:i/>
                  <w:sz w:val="28"/>
                  <w:szCs w:val="28"/>
                </w:rPr>
              </m:ctrlPr>
            </m:e>
          </m:nary>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s</m:t>
                      </m:r>
                      <m:ctrlPr>
                        <w:rPr>
                          <w:rFonts w:ascii="Cambria Math" w:hAnsi="Cambria Math" w:eastAsia="仿宋_GB2312" w:cs="仿宋"/>
                          <w:i/>
                          <w:sz w:val="28"/>
                          <w:szCs w:val="28"/>
                        </w:rPr>
                      </m:ctrlPr>
                    </m:e>
                    <m:sub>
                      <m:r>
                        <m:rPr/>
                        <w:rPr>
                          <w:rFonts w:ascii="Cambria Math" w:hAnsi="Cambria Math" w:eastAsia="仿宋_GB2312" w:cs="仿宋"/>
                          <w:sz w:val="28"/>
                          <w:szCs w:val="28"/>
                        </w:rPr>
                        <m:t>i</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其中，对每类抵质押品i：</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s</m:t>
                </m:r>
                <m:ctrlPr>
                  <w:rPr>
                    <w:rFonts w:ascii="Cambria Math" w:hAnsi="Cambria Math" w:eastAsia="仿宋_GB2312" w:cs="仿宋"/>
                    <w:i/>
                    <w:sz w:val="28"/>
                    <w:szCs w:val="28"/>
                  </w:rPr>
                </m:ctrlPr>
              </m:e>
              <m:sub>
                <m:r>
                  <m:rPr/>
                  <w:rPr>
                    <w:rFonts w:ascii="Cambria Math" w:hAnsi="Cambria Math" w:eastAsia="仿宋_GB2312" w:cs="仿宋"/>
                    <w:sz w:val="28"/>
                    <w:szCs w:val="28"/>
                  </w:rPr>
                  <m:t>i</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是该类抵质押品覆盖部分的违约损失率；</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s</m:t>
                </m:r>
                <m:ctrlPr>
                  <w:rPr>
                    <w:rFonts w:ascii="Cambria Math" w:hAnsi="Cambria Math" w:eastAsia="仿宋_GB2312" w:cs="仿宋"/>
                    <w:i/>
                    <w:sz w:val="28"/>
                    <w:szCs w:val="28"/>
                  </w:rPr>
                </m:ctrlPr>
              </m:e>
              <m:sub>
                <m:r>
                  <m:rPr/>
                  <w:rPr>
                    <w:rFonts w:ascii="Cambria Math" w:hAnsi="Cambria Math" w:eastAsia="仿宋_GB2312" w:cs="仿宋"/>
                    <w:sz w:val="28"/>
                    <w:szCs w:val="28"/>
                  </w:rPr>
                  <m:t>i</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是经该类抵质押品折扣系数（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）、抵质押品和风险暴露币种错配的折扣系数（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）调整后的抵质押品的当前价值。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其他参数与本部分（五）中规定一致。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（八）采用高级内部评级法的商业银行，抵质押品的信用风险缓释作用体现在违约损失率的估值中。商业银行应根据自行估计的抵质押品回收率，对各抵质押品所覆盖的风险暴露分别估计违约损失率。</w:t>
      </w:r>
    </w:p>
    <w:p>
      <w:pPr>
        <w:spacing w:line="480" w:lineRule="exact"/>
        <w:ind w:firstLine="600" w:firstLineChars="200"/>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.对于抵质押品部分覆盖的风险暴露，应将其分为全额抵质押和无抵质押部分。抵质押品当前价值经折扣系数调整后所得到的为风险暴露全额抵质押部分，适用该类抵质押品的违约损失率底线；</w:t>
      </w:r>
      <w:r>
        <w:rPr>
          <w:rFonts w:hint="eastAsia" w:ascii="仿宋_GB2312" w:eastAsia="仿宋_GB2312"/>
          <w:sz w:val="30"/>
          <w:szCs w:val="30"/>
        </w:rPr>
        <w:t>风险暴露的剩余部分视为无抵质押，适</w:t>
      </w:r>
      <w:r>
        <w:rPr>
          <w:rFonts w:hint="eastAsia" w:ascii="仿宋_GB2312" w:hAnsi="仿宋" w:eastAsia="仿宋_GB2312" w:cs="仿宋"/>
          <w:sz w:val="30"/>
          <w:szCs w:val="30"/>
        </w:rPr>
        <w:t>用无抵质押的违约损失率底线。抵质押品部分覆盖的风险暴露的违约损失率底线为全额抵质押部分风险暴露的违约损失率底线和无抵质押部分风险暴露的违约损失率底线的加权平均值。具体公式如下：</w:t>
      </w:r>
    </w:p>
    <w:p>
      <w:pPr>
        <w:rPr>
          <w:rFonts w:ascii="仿宋_GB2312" w:hAnsi="仿宋" w:eastAsia="仿宋_GB2312" w:cs="仿宋"/>
          <w:sz w:val="28"/>
          <w:szCs w:val="28"/>
        </w:rPr>
      </w:pPr>
      <m:oMathPara>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floor</m:t>
              </m:r>
              <m:ctrlPr>
                <w:rPr>
                  <w:rFonts w:ascii="Cambria Math" w:hAnsi="Cambria Math" w:eastAsia="仿宋_GB2312" w:cs="仿宋"/>
                  <w:i/>
                  <w:sz w:val="28"/>
                  <w:szCs w:val="28"/>
                </w:rPr>
              </m:ctrlPr>
            </m:sub>
          </m:sSub>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sfloor</m:t>
              </m:r>
              <m:ctrlPr>
                <w:rPr>
                  <w:rFonts w:ascii="Cambria Math" w:hAnsi="Cambria Math" w:eastAsia="仿宋_GB2312" w:cs="仿宋"/>
                  <w:i/>
                  <w:sz w:val="28"/>
                  <w:szCs w:val="28"/>
                </w:rPr>
              </m:ctrlPr>
            </m:sub>
          </m:sSub>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r>
            <m:rPr/>
            <w:rPr>
              <w:rFonts w:ascii="Cambria Math" w:hAnsi="Cambria Math" w:eastAsia="仿宋_GB2312" w:cs="仿宋"/>
              <w:sz w:val="28"/>
              <w:szCs w:val="28"/>
            </w:rPr>
            <m:t>+</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ufloor</m:t>
              </m:r>
              <m:ctrlPr>
                <w:rPr>
                  <w:rFonts w:ascii="Cambria Math" w:hAnsi="Cambria Math" w:eastAsia="仿宋_GB2312" w:cs="仿宋"/>
                  <w:i/>
                  <w:sz w:val="28"/>
                  <w:szCs w:val="28"/>
                </w:rPr>
              </m:ctrlPr>
            </m:sub>
          </m:sSub>
          <m:r>
            <m:rPr/>
            <w:rPr>
              <w:rFonts w:ascii="Cambria Math" w:hAnsi="Cambria Math" w:eastAsia="仿宋_GB2312" w:cs="仿宋"/>
              <w:sz w:val="28"/>
              <w:szCs w:val="28"/>
            </w:rPr>
            <m:t>×</m:t>
          </m:r>
          <m:f>
            <m:fPr>
              <m:ctrlPr>
                <w:rPr>
                  <w:rFonts w:ascii="Cambria Math" w:hAnsi="Cambria Math" w:eastAsia="仿宋_GB2312" w:cs="仿宋"/>
                  <w:i/>
                  <w:sz w:val="28"/>
                  <w:szCs w:val="28"/>
                </w:rPr>
              </m:ctrlPr>
            </m:fPr>
            <m:num>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num>
            <m:den>
              <m:r>
                <m:rPr/>
                <w:rPr>
                  <w:rFonts w:ascii="Cambria Math" w:hAnsi="Cambria Math" w:eastAsia="仿宋_GB2312" w:cs="仿宋"/>
                  <w:sz w:val="28"/>
                  <w:szCs w:val="28"/>
                </w:rPr>
                <m:t>E×(1+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r>
                <m:rPr/>
                <w:rPr>
                  <w:rFonts w:ascii="Cambria Math" w:hAnsi="Cambria Math" w:eastAsia="仿宋_GB2312" w:cs="仿宋"/>
                  <w:sz w:val="28"/>
                  <w:szCs w:val="28"/>
                </w:rPr>
                <m:t>)</m:t>
              </m:r>
              <m:ctrlPr>
                <w:rPr>
                  <w:rFonts w:ascii="Cambria Math" w:hAnsi="Cambria Math" w:eastAsia="仿宋_GB2312" w:cs="仿宋"/>
                  <w:i/>
                  <w:sz w:val="28"/>
                  <w:szCs w:val="28"/>
                </w:rPr>
              </m:ctrlPr>
            </m:den>
          </m:f>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sfloor</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ufloor</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分别是全额抵质押部分和无抵质押部分风险暴露的违约损失率底线，见下表：</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w:t>
      </w:r>
      <w:r>
        <w:rPr>
          <w:rFonts w:ascii="楷体_GB2312" w:hAnsi="宋体" w:eastAsia="楷体_GB2312" w:cs="Times New Roman"/>
          <w:b/>
          <w:bCs/>
          <w:sz w:val="28"/>
          <w:szCs w:val="28"/>
        </w:rPr>
        <w:t xml:space="preserve">2 </w:t>
      </w:r>
      <w:r>
        <w:rPr>
          <w:rFonts w:hint="eastAsia" w:ascii="楷体_GB2312" w:hAnsi="宋体" w:eastAsia="楷体_GB2312" w:cs="Times New Roman"/>
          <w:b/>
          <w:bCs/>
          <w:sz w:val="28"/>
          <w:szCs w:val="28"/>
        </w:rPr>
        <w:t>高级内部评级法违约损失率底线</w:t>
      </w:r>
    </w:p>
    <w:tbl>
      <w:tblPr>
        <w:tblStyle w:val="14"/>
        <w:tblW w:w="6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15"/>
        <w:gridCol w:w="19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215" w:type="dxa"/>
            <w:vAlign w:val="center"/>
          </w:tcPr>
          <w:p>
            <w:pPr>
              <w:jc w:val="center"/>
              <w:rPr>
                <w:rFonts w:ascii="宋体" w:hAnsi="宋体" w:eastAsia="宋体"/>
                <w:sz w:val="24"/>
              </w:rPr>
            </w:pPr>
            <w:r>
              <w:rPr>
                <w:rFonts w:hint="eastAsia" w:asciiTheme="minorEastAsia" w:hAnsiTheme="minorEastAsia" w:cstheme="minorEastAsia"/>
                <w:sz w:val="24"/>
              </w:rPr>
              <w:t>抵质押品种类</w:t>
            </w:r>
          </w:p>
        </w:tc>
        <w:tc>
          <w:tcPr>
            <w:tcW w:w="1932" w:type="dxa"/>
            <w:vAlign w:val="center"/>
          </w:tcPr>
          <w:p>
            <w:pPr>
              <w:jc w:val="center"/>
              <w:rPr>
                <w:rFonts w:ascii="宋体" w:hAnsi="宋体" w:eastAsia="宋体" w:cs="仿宋"/>
                <w:sz w:val="24"/>
              </w:rPr>
            </w:pPr>
            <m:oMathPara>
              <m:oMath>
                <m:sSub>
                  <m:sSubPr>
                    <m:ctrlPr>
                      <w:rPr>
                        <w:rFonts w:ascii="Cambria Math" w:hAnsi="Cambria Math" w:eastAsia="宋体" w:cs="仿宋"/>
                        <w:i/>
                        <w:sz w:val="24"/>
                      </w:rPr>
                    </m:ctrlPr>
                  </m:sSubPr>
                  <m:e>
                    <m:r>
                      <m:rPr/>
                      <w:rPr>
                        <w:rFonts w:ascii="Cambria Math" w:hAnsi="Cambria Math" w:eastAsia="宋体" w:cs="仿宋"/>
                        <w:sz w:val="24"/>
                      </w:rPr>
                      <m:t>LGD</m:t>
                    </m:r>
                    <m:ctrlPr>
                      <w:rPr>
                        <w:rFonts w:ascii="Cambria Math" w:hAnsi="Cambria Math" w:eastAsia="宋体" w:cs="仿宋"/>
                        <w:i/>
                        <w:sz w:val="24"/>
                      </w:rPr>
                    </m:ctrlPr>
                  </m:e>
                  <m:sub>
                    <m:r>
                      <m:rPr/>
                      <w:rPr>
                        <w:rFonts w:ascii="Cambria Math" w:hAnsi="Cambria Math" w:eastAsia="宋体" w:cs="仿宋"/>
                        <w:sz w:val="24"/>
                      </w:rPr>
                      <m:t>sfloor</m:t>
                    </m:r>
                    <m:ctrlPr>
                      <w:rPr>
                        <w:rFonts w:ascii="Cambria Math" w:hAnsi="Cambria Math" w:eastAsia="宋体" w:cs="仿宋"/>
                        <w:i/>
                        <w:sz w:val="24"/>
                      </w:rPr>
                    </m:ctrlPr>
                  </m:sub>
                </m:sSub>
              </m:oMath>
            </m:oMathPara>
          </w:p>
        </w:tc>
        <w:tc>
          <w:tcPr>
            <w:tcW w:w="1536" w:type="dxa"/>
            <w:vAlign w:val="center"/>
          </w:tcPr>
          <w:p>
            <w:pPr>
              <w:jc w:val="center"/>
              <w:rPr>
                <w:rFonts w:ascii="宋体" w:hAnsi="宋体" w:eastAsia="宋体"/>
                <w:sz w:val="24"/>
              </w:rPr>
            </w:pPr>
            <m:oMathPara>
              <m:oMath>
                <m:sSub>
                  <m:sSubPr>
                    <m:ctrlPr>
                      <w:rPr>
                        <w:rFonts w:ascii="Cambria Math" w:hAnsi="Cambria Math" w:eastAsia="宋体" w:cs="仿宋"/>
                        <w:i/>
                        <w:sz w:val="24"/>
                      </w:rPr>
                    </m:ctrlPr>
                  </m:sSubPr>
                  <m:e>
                    <m:r>
                      <m:rPr/>
                      <w:rPr>
                        <w:rFonts w:ascii="Cambria Math" w:hAnsi="Cambria Math" w:eastAsia="宋体" w:cs="仿宋"/>
                        <w:sz w:val="24"/>
                      </w:rPr>
                      <m:t>LGD</m:t>
                    </m:r>
                    <m:ctrlPr>
                      <w:rPr>
                        <w:rFonts w:ascii="Cambria Math" w:hAnsi="Cambria Math" w:eastAsia="宋体" w:cs="仿宋"/>
                        <w:i/>
                        <w:sz w:val="24"/>
                      </w:rPr>
                    </m:ctrlPr>
                  </m:e>
                  <m:sub>
                    <m:r>
                      <m:rPr/>
                      <w:rPr>
                        <w:rFonts w:ascii="Cambria Math" w:hAnsi="Cambria Math" w:eastAsia="宋体" w:cs="仿宋"/>
                        <w:sz w:val="24"/>
                      </w:rPr>
                      <m:t>ufloor</m:t>
                    </m:r>
                    <m:ctrlPr>
                      <w:rPr>
                        <w:rFonts w:ascii="Cambria Math" w:hAnsi="Cambria Math" w:eastAsia="宋体" w:cs="仿宋"/>
                        <w:i/>
                        <w:sz w:val="24"/>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15" w:type="dxa"/>
            <w:vAlign w:val="center"/>
          </w:tcPr>
          <w:p>
            <w:pPr>
              <w:jc w:val="center"/>
              <w:rPr>
                <w:rFonts w:ascii="宋体" w:hAnsi="宋体" w:eastAsia="宋体"/>
                <w:sz w:val="24"/>
              </w:rPr>
            </w:pPr>
            <w:r>
              <w:rPr>
                <w:rFonts w:hint="eastAsia" w:ascii="宋体" w:hAnsi="宋体" w:eastAsia="宋体"/>
                <w:sz w:val="24"/>
              </w:rPr>
              <w:t>金融质押品</w:t>
            </w:r>
          </w:p>
        </w:tc>
        <w:tc>
          <w:tcPr>
            <w:tcW w:w="1932" w:type="dxa"/>
            <w:vAlign w:val="center"/>
          </w:tcPr>
          <w:p>
            <w:pPr>
              <w:jc w:val="center"/>
              <w:rPr>
                <w:rFonts w:ascii="宋体" w:hAnsi="宋体" w:eastAsia="宋体"/>
                <w:sz w:val="24"/>
              </w:rPr>
            </w:pPr>
            <w:r>
              <w:rPr>
                <w:rFonts w:hint="eastAsia" w:ascii="宋体" w:hAnsi="宋体" w:eastAsia="宋体"/>
                <w:sz w:val="24"/>
              </w:rPr>
              <w:t>0%</w:t>
            </w:r>
          </w:p>
        </w:tc>
        <w:tc>
          <w:tcPr>
            <w:tcW w:w="1536" w:type="dxa"/>
            <w:vMerge w:val="restart"/>
            <w:vAlign w:val="center"/>
          </w:tcPr>
          <w:p>
            <w:pPr>
              <w:jc w:val="center"/>
              <w:rPr>
                <w:rFonts w:ascii="宋体" w:hAnsi="宋体" w:eastAsia="宋体"/>
                <w:sz w:val="24"/>
              </w:rPr>
            </w:pPr>
            <w:r>
              <w:rPr>
                <w:rFonts w:ascii="宋体" w:hAnsi="宋体" w:eastAsia="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15" w:type="dxa"/>
            <w:vAlign w:val="center"/>
          </w:tcPr>
          <w:p>
            <w:pPr>
              <w:jc w:val="center"/>
              <w:rPr>
                <w:rFonts w:ascii="宋体" w:hAnsi="宋体" w:eastAsia="宋体"/>
                <w:sz w:val="24"/>
              </w:rPr>
            </w:pPr>
            <w:r>
              <w:rPr>
                <w:rFonts w:hint="eastAsia" w:ascii="宋体" w:hAnsi="宋体" w:eastAsia="宋体"/>
                <w:sz w:val="24"/>
              </w:rPr>
              <w:t>应收账款</w:t>
            </w:r>
          </w:p>
        </w:tc>
        <w:tc>
          <w:tcPr>
            <w:tcW w:w="1932" w:type="dxa"/>
            <w:vAlign w:val="center"/>
          </w:tcPr>
          <w:p>
            <w:pPr>
              <w:jc w:val="center"/>
              <w:rPr>
                <w:rFonts w:ascii="宋体" w:hAnsi="宋体" w:eastAsia="宋体"/>
                <w:sz w:val="24"/>
              </w:rPr>
            </w:pPr>
            <w:r>
              <w:rPr>
                <w:rFonts w:hint="eastAsia" w:ascii="宋体" w:hAnsi="宋体" w:eastAsia="宋体"/>
                <w:sz w:val="24"/>
              </w:rPr>
              <w:t>1</w:t>
            </w:r>
            <w:r>
              <w:rPr>
                <w:rFonts w:ascii="宋体" w:hAnsi="宋体" w:eastAsia="宋体"/>
                <w:sz w:val="24"/>
              </w:rPr>
              <w:t>0%</w:t>
            </w:r>
          </w:p>
        </w:tc>
        <w:tc>
          <w:tcPr>
            <w:tcW w:w="1536" w:type="dxa"/>
            <w:vMerge w:val="continue"/>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15" w:type="dxa"/>
            <w:vAlign w:val="center"/>
          </w:tcPr>
          <w:p>
            <w:pPr>
              <w:jc w:val="center"/>
              <w:rPr>
                <w:rFonts w:ascii="宋体" w:hAnsi="宋体" w:eastAsia="宋体"/>
                <w:sz w:val="24"/>
              </w:rPr>
            </w:pPr>
            <w:r>
              <w:rPr>
                <w:rFonts w:hint="eastAsia" w:ascii="宋体" w:hAnsi="宋体" w:eastAsia="宋体"/>
                <w:sz w:val="24"/>
              </w:rPr>
              <w:t>商用房地产和居住用房地产</w:t>
            </w:r>
          </w:p>
        </w:tc>
        <w:tc>
          <w:tcPr>
            <w:tcW w:w="1932" w:type="dxa"/>
            <w:vAlign w:val="center"/>
          </w:tcPr>
          <w:p>
            <w:pPr>
              <w:jc w:val="center"/>
              <w:rPr>
                <w:rFonts w:ascii="宋体" w:hAnsi="宋体" w:eastAsia="宋体"/>
                <w:sz w:val="24"/>
              </w:rPr>
            </w:pPr>
            <w:r>
              <w:rPr>
                <w:rFonts w:hint="eastAsia" w:ascii="宋体" w:hAnsi="宋体" w:eastAsia="宋体"/>
                <w:sz w:val="24"/>
              </w:rPr>
              <w:t>1</w:t>
            </w:r>
            <w:r>
              <w:rPr>
                <w:rFonts w:ascii="宋体" w:hAnsi="宋体" w:eastAsia="宋体"/>
                <w:sz w:val="24"/>
              </w:rPr>
              <w:t>0%</w:t>
            </w:r>
          </w:p>
        </w:tc>
        <w:tc>
          <w:tcPr>
            <w:tcW w:w="1536" w:type="dxa"/>
            <w:vMerge w:val="continue"/>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15" w:type="dxa"/>
            <w:vAlign w:val="center"/>
          </w:tcPr>
          <w:p>
            <w:pPr>
              <w:jc w:val="center"/>
              <w:rPr>
                <w:rFonts w:ascii="宋体" w:hAnsi="宋体" w:eastAsia="宋体"/>
                <w:sz w:val="24"/>
              </w:rPr>
            </w:pPr>
            <w:r>
              <w:rPr>
                <w:rFonts w:hint="eastAsia" w:ascii="宋体" w:hAnsi="宋体" w:eastAsia="宋体"/>
                <w:sz w:val="24"/>
              </w:rPr>
              <w:t>其他抵质押品</w:t>
            </w:r>
          </w:p>
        </w:tc>
        <w:tc>
          <w:tcPr>
            <w:tcW w:w="1932" w:type="dxa"/>
            <w:vAlign w:val="center"/>
          </w:tcPr>
          <w:p>
            <w:pPr>
              <w:jc w:val="center"/>
              <w:rPr>
                <w:rFonts w:ascii="宋体" w:hAnsi="宋体" w:eastAsia="宋体"/>
                <w:sz w:val="24"/>
              </w:rPr>
            </w:pPr>
            <w:r>
              <w:rPr>
                <w:rFonts w:hint="eastAsia" w:ascii="宋体" w:hAnsi="宋体" w:eastAsia="宋体"/>
                <w:sz w:val="24"/>
              </w:rPr>
              <w:t>1</w:t>
            </w:r>
            <w:r>
              <w:rPr>
                <w:rFonts w:ascii="宋体" w:hAnsi="宋体" w:eastAsia="宋体"/>
                <w:sz w:val="24"/>
              </w:rPr>
              <w:t>5%</w:t>
            </w:r>
          </w:p>
        </w:tc>
        <w:tc>
          <w:tcPr>
            <w:tcW w:w="1536" w:type="dxa"/>
            <w:vMerge w:val="continue"/>
            <w:vAlign w:val="center"/>
          </w:tcPr>
          <w:p>
            <w:pPr>
              <w:rPr>
                <w:rFonts w:ascii="宋体" w:hAnsi="宋体" w:eastAsia="宋体"/>
                <w:sz w:val="24"/>
              </w:rPr>
            </w:pPr>
          </w:p>
        </w:tc>
      </w:tr>
    </w:tbl>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其他参数与本部分（五）中规定一致。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对于利用多种形式抵质押品对同一风险暴露共同担保时，商业银行可将风险暴露拆分为由不同抵质押品覆盖的部分，违约损失率底线采用本部分（七）中的公式，对每类抵质押品依次计算。拆分按金融质押品、应收账款、商用房地产和居住用房地产以及其他抵质押品的顺序进行。</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如果商业银行满足对无担保风险暴露池自行估计违约损失率的要求，当商业银行仅对其中个别风险暴露持有抵质押品，且无法对抵质押品的缓释效果进行建模时，若满足如下条件，商业银行可采用本部分（五）、（七）中规定的公式进行计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（1）抵质押品未覆盖部分的违约损失率</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应为商业银行自行估计的无抵质押的风险暴露的违约损失率，且商业银行估计</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LGD</m:t>
            </m:r>
            <m:ctrlPr>
              <w:rPr>
                <w:rFonts w:ascii="Cambria Math" w:hAnsi="Cambria Math" w:eastAsia="仿宋_GB2312" w:cs="仿宋"/>
                <w:i/>
                <w:sz w:val="28"/>
                <w:szCs w:val="28"/>
              </w:rPr>
            </m:ctrlPr>
          </m:e>
          <m:sub>
            <m:r>
              <m:rPr/>
              <w:rPr>
                <w:rFonts w:ascii="Cambria Math" w:hAnsi="Cambria Math" w:eastAsia="仿宋_GB2312" w:cs="仿宋"/>
                <w:sz w:val="28"/>
                <w:szCs w:val="28"/>
              </w:rPr>
              <m:t>u</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时，不应考虑抵质押品清收的影响；</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（2）抵质押品应是初级内部评级法下的合格抵质押品。</w:t>
      </w:r>
    </w:p>
    <w:p>
      <w:pPr>
        <w:pStyle w:val="3"/>
      </w:pPr>
      <w:r>
        <w:rPr>
          <w:rFonts w:hint="eastAsia"/>
        </w:rPr>
        <w:t>三、合格净额结算</w:t>
      </w:r>
    </w:p>
    <w:p>
      <w:pPr>
        <w:spacing w:line="480" w:lineRule="exact"/>
        <w:ind w:firstLine="600" w:firstLineChars="200"/>
        <w:rPr>
          <w:rFonts w:ascii="仿宋_GB2312" w:hAnsi="仿宋" w:eastAsia="仿宋_GB2312" w:cs="仿宋"/>
          <w:bCs/>
          <w:sz w:val="30"/>
          <w:szCs w:val="30"/>
        </w:rPr>
      </w:pPr>
      <w:r>
        <w:rPr>
          <w:rFonts w:hint="eastAsia" w:ascii="仿宋_GB2312" w:hAnsi="仿宋" w:eastAsia="仿宋_GB2312" w:cs="仿宋"/>
          <w:sz w:val="30"/>
          <w:szCs w:val="30"/>
        </w:rPr>
        <w:t>（一）合格净额结算的认定要求：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1.具有法律上可执行的净额结算协议，在交易对手无力偿还或破产的情况下均可实施。</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2.在任何情况下，能确定同一交易对手在净额结算合同下的资产和负债。</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3.在净头寸的基础上监测和控制相关风险暴露。</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（二）商业银行采用内部评级法，合格净额结算包括从属于有效净额结算协议的表内净额结算、从属于净额结算主协议的回购交易净额结算、从属于有效净额结算协议的场外衍生工具净额结算。</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商业银行采用合格净额结算缓释信用风险时，应持续监测和控制后续风险，并在净头寸的基础上监测和控制相关的风险暴露。商业银行采用高级内部评级法，应建立估计表外项目违约风险暴露的程序，估计每笔表外项目采用的违约风险暴露。</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（四）商业银行采用内部评级法，表内净额结算的风险缓释作用体现为违约风险暴露的下降，并按下式计算净风险暴露</w:t>
      </w:r>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E</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oMath>
      <w:r>
        <w:rPr>
          <w:rFonts w:hint="eastAsia" w:ascii="仿宋_GB2312" w:hAnsi="仿宋" w:eastAsia="仿宋_GB2312" w:cs="仿宋"/>
          <w:sz w:val="30"/>
          <w:szCs w:val="30"/>
        </w:rPr>
        <w:t>：</w:t>
      </w:r>
    </w:p>
    <w:p>
      <w:pPr>
        <w:ind w:firstLine="560" w:firstLineChars="200"/>
        <w:rPr>
          <w:rFonts w:ascii="仿宋_GB2312" w:hAnsi="仿宋" w:eastAsia="仿宋_GB2312" w:cs="仿宋"/>
          <w:sz w:val="28"/>
          <w:szCs w:val="28"/>
        </w:rPr>
      </w:pPr>
      <m:oMathPara>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E</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r>
            <m:rPr/>
            <w:rPr>
              <w:rFonts w:ascii="Cambria Math" w:hAnsi="Cambria Math" w:eastAsia="仿宋_GB2312" w:cs="仿宋"/>
              <w:sz w:val="28"/>
              <w:szCs w:val="28"/>
            </w:rPr>
            <m:t>=</m:t>
          </m:r>
          <m:r>
            <m:rPr>
              <m:sty m:val="p"/>
            </m:rPr>
            <w:rPr>
              <w:rFonts w:ascii="Cambria Math" w:hAnsi="Cambria Math" w:eastAsia="仿宋_GB2312" w:cs="仿宋"/>
              <w:sz w:val="28"/>
              <w:szCs w:val="28"/>
            </w:rPr>
            <m:t>max⁡</m:t>
          </m:r>
          <m:r>
            <m:rPr/>
            <w:rPr>
              <w:rFonts w:ascii="Cambria Math" w:hAnsi="Cambria Math" w:eastAsia="仿宋_GB2312" w:cs="仿宋"/>
              <w:sz w:val="28"/>
              <w:szCs w:val="28"/>
            </w:rPr>
            <m:t>{0,</m:t>
          </m:r>
          <m:r>
            <m:rPr>
              <m:sty m:val="p"/>
            </m:rPr>
            <w:rPr>
              <w:rFonts w:hint="eastAsia" w:ascii="Cambria Math" w:hAnsi="Cambria Math" w:eastAsia="仿宋_GB2312" w:cs="仿宋"/>
              <w:sz w:val="28"/>
              <w:szCs w:val="28"/>
            </w:rPr>
            <m:t>表内风险暴露</m:t>
          </m:r>
          <m:r>
            <m:rPr>
              <m:sty m:val="p"/>
            </m:rPr>
            <w:rPr>
              <w:rFonts w:ascii="Cambria Math" w:hAnsi="Cambria Math" w:eastAsia="仿宋_GB2312" w:cs="Cambria Math"/>
              <w:sz w:val="28"/>
              <w:szCs w:val="28"/>
            </w:rPr>
            <m:t>−</m:t>
          </m:r>
          <m:r>
            <m:rPr>
              <m:sty m:val="p"/>
            </m:rPr>
            <w:rPr>
              <w:rFonts w:hint="eastAsia" w:ascii="Cambria Math" w:hAnsi="Cambria Math" w:eastAsia="仿宋_GB2312" w:cs="仿宋"/>
              <w:sz w:val="28"/>
              <w:szCs w:val="28"/>
            </w:rPr>
            <m:t>表内负债</m:t>
          </m:r>
          <m:r>
            <m:rPr>
              <m:sty m:val="p"/>
            </m:rPr>
            <w:rPr>
              <w:rFonts w:ascii="Cambria Math" w:hAnsi="Cambria Math" w:eastAsia="仿宋_GB2312" w:cs="仿宋"/>
              <w:sz w:val="28"/>
              <w:szCs w:val="28"/>
            </w:rPr>
            <m:t>×</m:t>
          </m:r>
          <m:r>
            <m:rPr>
              <m:sty m:val="p"/>
            </m:rPr>
            <w:rPr>
              <w:rFonts w:hint="eastAsia" w:ascii="Cambria Math" w:hAnsi="仿宋" w:eastAsia="仿宋_GB2312" w:cs="仿宋"/>
              <w:sz w:val="28"/>
              <w:szCs w:val="28"/>
            </w:rPr>
            <m:t>(</m:t>
          </m:r>
          <m:r>
            <m:rPr>
              <m:sty m:val="p"/>
            </m:rPr>
            <w:rPr>
              <w:rFonts w:ascii="Cambria Math" w:hAnsi="仿宋" w:eastAsia="仿宋_GB2312" w:cs="仿宋"/>
              <w:sz w:val="28"/>
              <w:szCs w:val="28"/>
            </w:rPr>
            <m:t>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r>
            <m:rPr>
              <m:sty m:val="p"/>
            </m:rPr>
            <w:rPr>
              <w:rFonts w:ascii="Cambria Math" w:hAnsi="仿宋" w:eastAsia="仿宋_GB2312" w:cs="仿宋"/>
              <w:sz w:val="28"/>
              <w:szCs w:val="28"/>
            </w:rPr>
            <m:t>)</m:t>
          </m:r>
          <m:r>
            <m:rPr/>
            <w:rPr>
              <w:rFonts w:ascii="Cambria Math" w:hAnsi="Cambria Math" w:eastAsia="仿宋_GB2312" w:cs="仿宋"/>
              <w:sz w:val="28"/>
              <w:szCs w:val="28"/>
            </w:rPr>
            <m:t>}</m:t>
          </m:r>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表内风险暴露和表内负债为商业银行对同一交易对手在有效净额结算协议下的表内资产和负债；</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 xml:space="preserve">为表内风险暴露与表内负债存在币种错配时的折扣系数。 </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（五）对从属于净额结算主协议的回购交易，合格净额结算的认定不仅应满足本部分（一）的要求，还应满足下列要求：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1.交易对手违约，若净额结算协议在相关国家或地区具备法律效力，则回购交易的净额结算效应按照交易对手逐一确认；</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2.净额结算协议应：</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（1）确保在违约事件发生时，未违约方有权及时终止从属于协议的所有相关交易；</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（2）规定该协议下被终止的相关交易（包括抵质押品价值）的收益和损失的抵补，以便明确交易双方之间的债权债务净额；</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（3）允许在出现违约事件时迅速清算或处置抵质押品；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（4）确保在交易对手无力清偿或破产导致违约时，以上条款在相关国家或地区均具备法律执行力。</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（六）从属于净额结算主协议的回购交易，可将回购的金融资产视作金融质押品，适用本附件第二部分（五）的相关规定；也可以在符合本部分（一）要求的前提下，采用净额结算进行处理。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1.商业银行应对银行账簿和交易账簿分别进行净额结算。只有当所有交易逐日盯市且质押工具均为银行账簿中的合格金融质押品时，银行账簿和交易账簿之间的轧差头寸才可以按照净额结算处理。</w:t>
      </w:r>
    </w:p>
    <w:p>
      <w:pPr>
        <w:spacing w:line="480" w:lineRule="exact"/>
        <w:ind w:firstLine="600" w:firstLineChars="200"/>
        <w:rPr>
          <w:rFonts w:ascii="仿宋_GB2312" w:hAnsi="仿宋" w:eastAsia="仿宋_GB2312" w:cs="仿宋"/>
          <w:sz w:val="30"/>
          <w:szCs w:val="30"/>
        </w:rPr>
      </w:pPr>
      <w:r>
        <w:rPr>
          <w:rFonts w:ascii="仿宋_GB2312" w:hAnsi="仿宋" w:eastAsia="仿宋_GB2312" w:cs="仿宋"/>
          <w:position w:val="-32"/>
          <w:sz w:val="30"/>
          <w:szCs w:val="30"/>
        </w:rPr>
        <w:pict>
          <v:shape id="_x0000_s1026" o:spid="_x0000_s1026" o:spt="75" type="#_x0000_t75" style="position:absolute;left:0pt;margin-left:-13.85pt;margin-top:54.25pt;height:42.95pt;width:431.05pt;mso-wrap-distance-bottom:0pt;mso-wrap-distance-top:0pt;z-index:251659264;mso-width-relative:page;mso-height-relative:page;" o:ole="t" filled="f" o:preferrelative="t" stroked="f" coordsize="21600,21600">
            <v:path/>
            <v:fill on="f" focussize="0,0"/>
            <v:stroke on="f" joinstyle="miter"/>
            <v:imagedata r:id="rId6" o:title=""/>
            <o:lock v:ext="edit" aspectratio="t"/>
            <w10:wrap type="topAndBottom"/>
          </v:shape>
          <o:OLEObject Type="Embed" ProgID="Equation.KSEE3" ShapeID="_x0000_s1026" DrawAspect="Content" ObjectID="_1468075725" r:id="rId5">
            <o:LockedField>false</o:LockedField>
          </o:OLEObject>
        </w:pict>
      </w:r>
      <w:r>
        <w:rPr>
          <w:rFonts w:hint="eastAsia" w:ascii="仿宋_GB2312" w:hAnsi="仿宋" w:eastAsia="仿宋_GB2312" w:cs="仿宋"/>
          <w:sz w:val="30"/>
          <w:szCs w:val="30"/>
        </w:rPr>
        <w:t>2.商业银行对回购交易采用净额结算时，违约风险暴露按下式计算：</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560" w:firstLineChars="200"/>
        <w:rPr>
          <w:rFonts w:ascii="仿宋_GB2312" w:hAnsi="仿宋" w:eastAsia="仿宋_GB2312" w:cs="仿宋"/>
          <w:sz w:val="30"/>
          <w:szCs w:val="30"/>
        </w:rPr>
      </w:pPr>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E</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oMath>
      <w:r>
        <w:rPr>
          <w:rFonts w:hint="eastAsia" w:ascii="仿宋_GB2312" w:hAnsi="仿宋" w:eastAsia="仿宋_GB2312" w:cs="仿宋"/>
          <w:sz w:val="30"/>
          <w:szCs w:val="30"/>
        </w:rPr>
        <w:t>为信用风险缓释后的风险暴露。</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i</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为净额结算协议下，商业银行借出、卖出回购或提供给交易对手的所有现金或证券的当前价值。</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C</m:t>
            </m:r>
            <m:ctrlPr>
              <w:rPr>
                <w:rFonts w:ascii="Cambria Math" w:hAnsi="Cambria Math" w:eastAsia="仿宋_GB2312" w:cs="仿宋"/>
                <w:i/>
                <w:sz w:val="28"/>
                <w:szCs w:val="28"/>
              </w:rPr>
            </m:ctrlPr>
          </m:e>
          <m:sub>
            <m:r>
              <m:rPr/>
              <w:rPr>
                <w:rFonts w:ascii="Cambria Math" w:hAnsi="Cambria Math" w:eastAsia="仿宋_GB2312" w:cs="仿宋"/>
                <w:sz w:val="28"/>
                <w:szCs w:val="28"/>
              </w:rPr>
              <m:t>j</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为净额结算协议下，商业银行借入、买入返售或银行持有的所有现金或证券的当前价值。</w:t>
      </w:r>
    </w:p>
    <w:p>
      <w:pPr>
        <w:tabs>
          <w:tab w:val="left" w:pos="5421"/>
        </w:tabs>
        <w:ind w:firstLine="600" w:firstLineChars="200"/>
        <w:rPr>
          <w:rFonts w:ascii="仿宋_GB2312" w:hAnsi="仿宋" w:eastAsia="仿宋_GB2312" w:cs="仿宋"/>
          <w:sz w:val="30"/>
          <w:szCs w:val="30"/>
        </w:rPr>
      </w:pPr>
      <w:r>
        <w:rPr>
          <w:rFonts w:hint="eastAsia" w:ascii="仿宋_GB2312" w:hAnsi="仿宋" w:eastAsia="仿宋_GB2312" w:cs="仿宋"/>
          <w:position w:val="-30"/>
          <w:sz w:val="30"/>
          <w:szCs w:val="30"/>
        </w:rPr>
        <w:object>
          <v:shape id="_x0000_i1025" o:spt="75" type="#_x0000_t75" style="height:38pt;width:145.3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6" r:id="rId7">
            <o:LockedField>false</o:LockedField>
          </o:OLEObject>
        </w:object>
      </w:r>
    </w:p>
    <w:p>
      <w:pPr>
        <w:ind w:firstLine="600" w:firstLineChars="200"/>
        <w:rPr>
          <w:rFonts w:ascii="仿宋_GB2312" w:hAnsi="仿宋" w:eastAsia="仿宋_GB2312" w:cs="仿宋"/>
          <w:sz w:val="30"/>
          <w:szCs w:val="30"/>
        </w:rPr>
      </w:pPr>
      <w:r>
        <w:rPr>
          <w:rFonts w:hint="eastAsia" w:ascii="仿宋_GB2312" w:hAnsi="仿宋" w:eastAsia="仿宋_GB2312" w:cs="仿宋"/>
          <w:position w:val="-28"/>
          <w:sz w:val="30"/>
          <w:szCs w:val="30"/>
        </w:rPr>
        <w:object>
          <v:shape id="_x0000_i1026" o:spt="75" type="#_x0000_t75" style="height:30pt;width:148.6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7" r:id="rId9">
            <o:LockedField>false</o:LockedField>
          </o:OLEObject>
        </w:objec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为净额结算协议下单只证券净头寸的绝对值。</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适用的折扣系数；如果商业银行借出、卖出回购证券或以类似的方式进行交易，则</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为正；如果商业银行借入证券、买入返售或以类似的方式进行交易，则</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为负。</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H</m:t>
        </m:r>
      </m:oMath>
      <w:r>
        <w:rPr>
          <w:rFonts w:hint="eastAsia" w:ascii="仿宋_GB2312" w:hAnsi="仿宋" w:eastAsia="仿宋_GB2312" w:cs="仿宋"/>
          <w:sz w:val="30"/>
          <w:szCs w:val="30"/>
        </w:rPr>
        <w:t>为净额结算协议下证券总数（如果某只证券的</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小于净额结算协议中最大的</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的十分之一，该证券不计入证券总数）。</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为与清算币种错配币种净头寸的绝对值。</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为币种错配的折扣系数。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（七）满足市场风险内部模型法要求的商业银行，可以通过考虑证券头寸的相关性，使用风险价值模型计算回购交易中风险暴露和质押品的价格波动。使用风险价值模型计算风险暴露</w:t>
      </w:r>
      <m:oMath>
        <m:sSup>
          <m:sSupPr>
            <m:ctrlPr>
              <w:rPr>
                <w:rFonts w:ascii="Cambria Math" w:hAnsi="Cambria Math" w:eastAsia="仿宋_GB2312" w:cs="仿宋"/>
                <w:i/>
                <w:sz w:val="28"/>
                <w:szCs w:val="28"/>
              </w:rPr>
            </m:ctrlPr>
          </m:sSupPr>
          <m:e>
            <m:r>
              <m:rPr/>
              <w:rPr>
                <w:rFonts w:ascii="Cambria Math" w:hAnsi="Cambria Math" w:eastAsia="仿宋_GB2312" w:cs="仿宋"/>
                <w:sz w:val="28"/>
                <w:szCs w:val="28"/>
              </w:rPr>
              <m:t>E</m:t>
            </m:r>
            <m:ctrlPr>
              <w:rPr>
                <w:rFonts w:ascii="Cambria Math" w:hAnsi="Cambria Math" w:eastAsia="仿宋_GB2312" w:cs="仿宋"/>
                <w:i/>
                <w:sz w:val="28"/>
                <w:szCs w:val="28"/>
              </w:rPr>
            </m:ctrlPr>
          </m:e>
          <m:sup>
            <m:r>
              <m:rPr/>
              <w:rPr>
                <w:rFonts w:ascii="Cambria Math" w:hAnsi="Cambria Math" w:eastAsia="仿宋_GB2312" w:cs="仿宋"/>
                <w:sz w:val="28"/>
                <w:szCs w:val="28"/>
              </w:rPr>
              <m:t>∗</m:t>
            </m:r>
            <m:ctrlPr>
              <w:rPr>
                <w:rFonts w:ascii="Cambria Math" w:hAnsi="Cambria Math" w:eastAsia="仿宋_GB2312" w:cs="仿宋"/>
                <w:i/>
                <w:sz w:val="28"/>
                <w:szCs w:val="28"/>
              </w:rPr>
            </m:ctrlPr>
          </m:sup>
        </m:sSup>
      </m:oMath>
      <w:r>
        <w:rPr>
          <w:rFonts w:hint="eastAsia" w:ascii="仿宋_GB2312" w:hAnsi="仿宋" w:eastAsia="仿宋_GB2312" w:cs="仿宋"/>
          <w:sz w:val="30"/>
          <w:szCs w:val="30"/>
        </w:rPr>
        <w:t>的商业银行，公式为：</w:t>
      </w:r>
    </w:p>
    <w:p>
      <w:pPr>
        <w:jc w:val="center"/>
        <w:rPr>
          <w:rFonts w:ascii="仿宋_GB2312" w:hAnsi="仿宋" w:eastAsia="仿宋_GB2312" w:cs="仿宋"/>
          <w:sz w:val="30"/>
          <w:szCs w:val="30"/>
        </w:rPr>
      </w:pPr>
      <w:r>
        <w:rPr>
          <w:rFonts w:hint="eastAsia" w:ascii="仿宋_GB2312" w:hAnsi="仿宋" w:eastAsia="仿宋_GB2312" w:cs="仿宋"/>
          <w:position w:val="-14"/>
          <w:sz w:val="30"/>
          <w:szCs w:val="30"/>
        </w:rPr>
        <w:object>
          <v:shape id="_x0000_i1027" o:spt="75" type="#_x0000_t75" style="height:22.65pt;width:203.3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8" r:id="rId11">
            <o:LockedField>false</o:LockedField>
          </o:OLEObject>
        </w:objec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VaR</m:t>
        </m:r>
      </m:oMath>
      <w:r>
        <w:rPr>
          <w:rFonts w:hint="eastAsia" w:ascii="仿宋_GB2312" w:hAnsi="仿宋" w:eastAsia="仿宋_GB2312" w:cs="仿宋"/>
          <w:sz w:val="30"/>
          <w:szCs w:val="30"/>
        </w:rPr>
        <w:t>为前一交易日的风险价值。</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商业银行不满足市场风险内部模型法要求，可以单独向国家金融监督管理总局申请利用内部风险价值模型计算回购交易中风险暴露和质押品的潜在价格波动，并利用过去250个交易日的数据对结果进行返回检验，证明模型的质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（八）商业银行在使用场外衍生工具净额结算进行信用风险缓释时，交易对手的净风险暴露按照本办法附件9的规定计算。</w:t>
      </w:r>
    </w:p>
    <w:p>
      <w:pPr>
        <w:pStyle w:val="3"/>
      </w:pPr>
      <w:r>
        <w:rPr>
          <w:rFonts w:hint="eastAsia"/>
        </w:rPr>
        <w:t>四、合格保证和信用衍生工具</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商业银行采用初级内部评级法，应按照本附件第六部分的规定认定合格保证和信用衍生工具的范围，同时应满足本部分（二）和（三）中的认定要求。商业银行采用高级内部评级法，合格信用衍生工具的范围与初级内部评级法相同，在满足本部分（二）要求的前提下可自行认定合格保证，但应有历史数据证明保证的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（二）合格保证应满足的最低要求：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1.保证人资格应符合《中华人民共和国民法典》规定，具备代为清偿贷款本息能力。商业银行采用高级内部评级法，对合格保证人的类别没有限制，应书面规定保证人类型的认定标准和流程。</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2.保证应为书面形式，且保证数额在保证期限内有效。</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3.保证应为无条件不可撤销的。采用高级内部评级法且自行估计违约风险暴露的商业银行，若保证仅覆盖商业银行向债务人追偿并完成清收之后的剩余损失，也可视为具有信用风险缓释作用。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应对保证人的资信状况和代偿能力等进行审批评估，确保保证的可靠性。保证人所在国或注册国不应设有外汇管制；如果有外汇管制，商业银行应确保保证人履行债务时，可以获得资金汇出汇入的批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5.商业银行应加强对保证人的档案信息管理，在保证合同有效期间，应定期对保证人的资信状况和代偿能力及保证合同履行情况进行检查，每年不少于一次。</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6.商业银行对关联公司或集团内部的互保及交叉保证应从严掌握，具有实质风险相关性的保证不应作为合格的信用风险缓释工具。</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7.采用信用风险缓释工具后的资本要求不小于对保证人直接风险暴露的资本要求。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8.当商业银行对保证覆盖部分风险暴露采用权重法时，适用本办法附件3规定的保证人范围及最低要求。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当具有信用违约互换功能的信用衍生工具和总收益互换提供的信用保护与保证相同时，可以作为合格信用衍生工具。除本部分（二）的要求外，采用合格信用衍生工具缓释信用风险应满足本办法附件3第四部分</w:t>
      </w:r>
      <w:r>
        <w:rPr>
          <w:rFonts w:hint="eastAsia" w:ascii="仿宋_GB2312" w:hAnsi="Times New Roman" w:eastAsia="仿宋_GB2312" w:cs="Times New Roman"/>
          <w:sz w:val="30"/>
          <w:szCs w:val="30"/>
        </w:rPr>
        <w:t>（三）2</w:t>
      </w:r>
      <w:r>
        <w:rPr>
          <w:rFonts w:hint="eastAsia" w:ascii="仿宋_GB2312" w:hAnsi="仿宋" w:eastAsia="仿宋_GB2312" w:cs="仿宋"/>
          <w:sz w:val="30"/>
          <w:szCs w:val="30"/>
        </w:rPr>
        <w:t>中有关合格信用衍生工具的具体要求。合格信用衍生工具的信用保护提供方的范围与合格保证的保证人一致。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（四）商业银行采用初级内部评级法，应将风险暴露划分为保证或信用衍生工具覆盖和未覆盖部分。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1.对保证或信用衍生工具覆盖的风险暴露部分采用替代法处理：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（1）采用保证人或信用保护提供方所适用的风险权重函数。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（2）采用保证人或信用保护提供方评级结果对应的违约概率。</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（3）将风险暴露视作保证人或信用保护提供方的暴露，采用标准违约损失率。如保证人或信用保护提供方为该缓释覆盖部分采用了其他风险缓释工具，可继续对标准违约损失率进行调整。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2.如果信用保护与风险暴露的币种不同，即存在币种错配，则认定信用保护覆盖部分的风险暴露将通过折扣系数</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予以降低。</w:t>
      </w:r>
    </w:p>
    <w:p>
      <w:pPr>
        <w:rPr>
          <w:rFonts w:ascii="仿宋_GB2312" w:hAnsi="仿宋" w:eastAsia="仿宋_GB2312" w:cs="仿宋"/>
          <w:sz w:val="28"/>
          <w:szCs w:val="28"/>
        </w:rPr>
      </w:pPr>
      <m:oMathPara>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G</m:t>
              </m:r>
              <m:ctrlPr>
                <w:rPr>
                  <w:rFonts w:ascii="Cambria Math" w:hAnsi="Cambria Math" w:eastAsia="仿宋_GB2312" w:cs="仿宋"/>
                  <w:i/>
                  <w:sz w:val="28"/>
                  <w:szCs w:val="28"/>
                </w:rPr>
              </m:ctrlPr>
            </m:e>
            <m:sub>
              <m:r>
                <m:rPr/>
                <w:rPr>
                  <w:rFonts w:ascii="Cambria Math" w:hAnsi="Cambria Math" w:eastAsia="仿宋_GB2312" w:cs="仿宋"/>
                  <w:sz w:val="28"/>
                  <w:szCs w:val="28"/>
                </w:rPr>
                <m:t>a</m:t>
              </m:r>
              <m:ctrlPr>
                <w:rPr>
                  <w:rFonts w:ascii="Cambria Math" w:hAnsi="Cambria Math" w:eastAsia="仿宋_GB2312" w:cs="仿宋"/>
                  <w:i/>
                  <w:sz w:val="28"/>
                  <w:szCs w:val="28"/>
                </w:rPr>
              </m:ctrlPr>
            </m:sub>
          </m:sSub>
          <m:r>
            <m:rPr/>
            <w:rPr>
              <w:rFonts w:ascii="Cambria Math" w:hAnsi="Cambria Math" w:eastAsia="仿宋_GB2312" w:cs="仿宋"/>
              <w:sz w:val="28"/>
              <w:szCs w:val="28"/>
            </w:rPr>
            <m:t>=G×(1−</m:t>
          </m:r>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r>
            <m:rPr/>
            <w:rPr>
              <w:rFonts w:ascii="Cambria Math" w:hAnsi="Cambria Math" w:eastAsia="仿宋_GB2312" w:cs="仿宋"/>
              <w:sz w:val="28"/>
              <w:szCs w:val="28"/>
            </w:rPr>
            <m:t>)</m:t>
          </m:r>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G</m:t>
            </m:r>
            <m:ctrlPr>
              <w:rPr>
                <w:rFonts w:ascii="Cambria Math" w:hAnsi="Cambria Math" w:eastAsia="仿宋_GB2312" w:cs="仿宋"/>
                <w:i/>
                <w:sz w:val="28"/>
                <w:szCs w:val="28"/>
              </w:rPr>
            </m:ctrlPr>
          </m:e>
          <m:sub>
            <m:r>
              <m:rPr/>
              <w:rPr>
                <w:rFonts w:ascii="Cambria Math" w:hAnsi="Cambria Math" w:eastAsia="仿宋_GB2312" w:cs="仿宋"/>
                <w:sz w:val="28"/>
                <w:szCs w:val="28"/>
              </w:rPr>
              <m:t>a</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为经币种错配调整后信用保护覆盖的风险暴露；</w:t>
      </w:r>
    </w:p>
    <w:p>
      <w:pPr>
        <w:spacing w:line="480" w:lineRule="exact"/>
        <w:ind w:firstLine="560" w:firstLineChars="200"/>
        <w:rPr>
          <w:rFonts w:ascii="仿宋_GB2312" w:hAnsi="仿宋" w:eastAsia="仿宋_GB2312" w:cs="仿宋"/>
          <w:sz w:val="30"/>
          <w:szCs w:val="30"/>
        </w:rPr>
      </w:pPr>
      <m:oMath>
        <m:r>
          <m:rPr/>
          <w:rPr>
            <w:rFonts w:ascii="Cambria Math" w:hAnsi="Cambria Math" w:eastAsia="仿宋_GB2312" w:cs="仿宋"/>
            <w:sz w:val="28"/>
            <w:szCs w:val="28"/>
          </w:rPr>
          <m:t>G</m:t>
        </m:r>
      </m:oMath>
      <w:r>
        <w:rPr>
          <w:rFonts w:hint="eastAsia" w:ascii="仿宋_GB2312" w:hAnsi="仿宋" w:eastAsia="仿宋_GB2312" w:cs="仿宋"/>
          <w:sz w:val="30"/>
          <w:szCs w:val="30"/>
        </w:rPr>
        <w:t>为信用保护覆盖部分的名义金额；</w:t>
      </w:r>
    </w:p>
    <w:p>
      <w:pPr>
        <w:spacing w:line="480" w:lineRule="exact"/>
        <w:ind w:firstLine="560" w:firstLineChars="200"/>
        <w:rPr>
          <w:rFonts w:ascii="仿宋_GB2312" w:hAnsi="仿宋" w:eastAsia="仿宋_GB2312" w:cs="仿宋"/>
          <w:sz w:val="30"/>
          <w:szCs w:val="30"/>
        </w:rPr>
      </w:pP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fx</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为适用于信用保护和风险暴露币种错配的折扣系数。</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3.商业银行不得认可首次违约以及后续第N次违约信用衍生工具为合格的信用风险缓释工具。</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4.商业银行采用带有偿付临界值、按比例承担以及分档次抵补的信用保护，应按照本办法附件3第四部分的要求处理。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采用高级内部评级法的商业银行，可以通过调整违约概率或违约损失率的估计值来反映保证和信用衍生工具的信用风险缓释作用；对不符合自行估计违约损失率相关要求的商业银行，只能通过调整违约概率反映信用风险缓释的作用。商业银行进行风险参数调整时应满足如下标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1.基于合格保证的调整应满足以下标准：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商业银行应明确调整债务人级别或违约损失率估计值（零售风险暴露和合格购入应收账款风险分池）的标准。调整标准的详细程度应与本办法附件5规定的评级标准可比，并符合附件5有关债务人或债项评级的最低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（2）调整标准应合理、直观，确保保证人具备履行合约的能力和意愿，并考虑债务偿还的所需时间及保证人履约能力与债务人还款能力的相关程度；此外，还应考虑币种错配等剩余风险的大小。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（3）调整债务人级别或违约损失率估计值（零售风险暴露和合格购入应收账款风险分池）时，商业银行应考虑所有可获得的相关信息。</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2.基于信用衍生工具的调整应满足以下标准：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于保证的最低要求同样适用于单名信用衍生工具。同时，商业银行还应考虑资产错配的影响。对于信用衍生工具提供保护的风险暴露，若使用调整后的债务人级别或违约损失率，信用衍生工具基于的参考资产应与基础资产相同，除非满足初级内部评级法合格信用衍生工具相关规定。</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（2）标准应考虑到信用衍生工具的付款结构，并保守地评估付款结构对清收水平和清收时间的影响；银行还应考虑其他潜在剩余风险的大小。</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无论选择调整违约概率或违约损失率，商业银行应确保一定时期内不同保证或信用衍生工具之间方法的一致性。</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（六）商业银行采用高级内部评级法,对保证或信用衍生工具覆盖的部分可以采用替代法，也可以采用债务人自身的违约概率和银行内部估计的该类保证人或信用保护提供方提供信用保护风险暴露的违约损失率。</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对于商业银行获得验收通过使用自行估计违约损失率的风险暴露，商业银行可认定首次违约信用衍生工具的风险缓释作用，但不可认定第二次违约以及后续第N次违约信用衍生工具的风险缓释作用。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在两种方法中，调整违约概率或违约损失率均不得反映“双重违约”的效果。采用自行估计违约损失率方法计算的资本要求不得低于对保证人或信用保护提供方直接风险暴露的资本要求。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七）如果商业银行对保证人或信用保护提供方直接风险暴露采用权重法，则对保证或信用保护覆盖部分风险暴露也应采用权重法进行计量。如果商业银行对保证人或信用保护提供方直接风险暴露采用初级内部评级法，则对保证或信用保护覆盖部分风险暴露也应采用初级内部评级法进行计量。商业银行也可以选择不认定保证或信用衍生工具的信用风险缓释作用。</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八）同一风险暴露由两个以上保证人或信用保护提供方提供信用保护，且不划分信用保护责任的情况下，初级内部评级法不同时考虑多个保证人或信用保护提供方的信用风险缓释作用。商业银行可以选择信用等级最好、信用风险缓释效果最优的保证人或信用保护提供方进行信用风险缓释处理。</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商业银行采用高级内部评级法，若历史数据能够证明，同一风险暴露由多个保证人或信用保护提供方同时提供信用保护时信用风险缓释作用大于单个信用保护，则可以考虑每个保证人或信用保护提供方缓释风险的作用，表现为违约损失率的下降。</w:t>
      </w:r>
    </w:p>
    <w:p>
      <w:pPr>
        <w:pStyle w:val="3"/>
      </w:pPr>
      <w:r>
        <w:rPr>
          <w:rFonts w:hint="eastAsia"/>
        </w:rPr>
        <w:t>五、信用风险缓释工具池</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对单独一项风险暴露存在多个信用风险缓释工具时，采用初级内部评级法的商业银行，应将风险暴露细分为每一信用风险缓释工具覆盖的部分，分别计算风险加权资产。如信用保护由一个信用保护者提供，但有不同的期限，也应细分为几个独立的信用保护。</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采用高级内部评级法的商业银行，可以对同一风险暴露采用多个信用风险缓释工具。采用此种方法处理的商业银行应证明此种方式对风险抵补的有效性，并建立合理的多重信用风险缓释工具的处理程序和方法。</w:t>
      </w:r>
    </w:p>
    <w:p>
      <w:pPr>
        <w:pStyle w:val="3"/>
      </w:pPr>
      <w:r>
        <w:rPr>
          <w:rFonts w:hint="eastAsia"/>
        </w:rPr>
        <w:t>六、初级内部评级法下合格信用风险缓释工具</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表3 初级内部评级法下合格信用风险缓释工具</w:t>
      </w:r>
    </w:p>
    <w:tbl>
      <w:tblPr>
        <w:tblStyle w:val="14"/>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079"/>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trPr>
        <w:tc>
          <w:tcPr>
            <w:tcW w:w="1297" w:type="dxa"/>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信用风险缓释工具</w:t>
            </w:r>
          </w:p>
        </w:tc>
        <w:tc>
          <w:tcPr>
            <w:tcW w:w="7157" w:type="dxa"/>
            <w:gridSpan w:val="2"/>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抵质押品</w:t>
            </w:r>
          </w:p>
        </w:tc>
        <w:tc>
          <w:tcPr>
            <w:tcW w:w="10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金融质押品</w:t>
            </w:r>
          </w:p>
        </w:tc>
        <w:tc>
          <w:tcPr>
            <w:tcW w:w="6078" w:type="dxa"/>
            <w:vAlign w:val="center"/>
          </w:tcPr>
          <w:p>
            <w:pPr>
              <w:rPr>
                <w:rFonts w:asciiTheme="minorEastAsia" w:hAnsiTheme="minorEastAsia" w:cstheme="minorEastAsia"/>
                <w:sz w:val="24"/>
              </w:rPr>
            </w:pPr>
            <w:r>
              <w:rPr>
                <w:rFonts w:hint="eastAsia" w:asciiTheme="minorEastAsia" w:hAnsiTheme="minorEastAsia" w:cstheme="minorEastAsia"/>
                <w:sz w:val="24"/>
              </w:rPr>
              <w:t>（一）以特户、封金或保证金等形式特定化后的现金；</w:t>
            </w:r>
          </w:p>
          <w:p>
            <w:pPr>
              <w:rPr>
                <w:rFonts w:asciiTheme="minorEastAsia" w:hAnsiTheme="minorEastAsia" w:cstheme="minorEastAsia"/>
                <w:sz w:val="24"/>
              </w:rPr>
            </w:pPr>
            <w:r>
              <w:rPr>
                <w:rFonts w:hint="eastAsia" w:asciiTheme="minorEastAsia" w:hAnsiTheme="minorEastAsia" w:cstheme="minorEastAsia"/>
                <w:sz w:val="24"/>
              </w:rPr>
              <w:t>（二）黄金；</w:t>
            </w:r>
          </w:p>
          <w:p>
            <w:pPr>
              <w:rPr>
                <w:rFonts w:asciiTheme="minorEastAsia" w:hAnsiTheme="minorEastAsia" w:cstheme="minorEastAsia"/>
                <w:sz w:val="24"/>
              </w:rPr>
            </w:pPr>
            <w:r>
              <w:rPr>
                <w:rFonts w:hint="eastAsia" w:asciiTheme="minorEastAsia" w:hAnsiTheme="minorEastAsia" w:cstheme="minorEastAsia"/>
                <w:sz w:val="24"/>
              </w:rPr>
              <w:t>（三）银行存单；</w:t>
            </w:r>
          </w:p>
          <w:p>
            <w:pPr>
              <w:rPr>
                <w:rFonts w:asciiTheme="minorEastAsia" w:hAnsiTheme="minorEastAsia" w:cstheme="minorEastAsia"/>
                <w:sz w:val="24"/>
              </w:rPr>
            </w:pPr>
            <w:r>
              <w:rPr>
                <w:rFonts w:hint="eastAsia" w:asciiTheme="minorEastAsia" w:hAnsiTheme="minorEastAsia" w:cstheme="minorEastAsia"/>
                <w:sz w:val="24"/>
              </w:rPr>
              <w:t>（四）我国财政部发行的国债；</w:t>
            </w:r>
          </w:p>
          <w:p>
            <w:pPr>
              <w:rPr>
                <w:rFonts w:asciiTheme="minorEastAsia" w:hAnsiTheme="minorEastAsia" w:cstheme="minorEastAsia"/>
                <w:sz w:val="24"/>
              </w:rPr>
            </w:pPr>
            <w:r>
              <w:rPr>
                <w:rFonts w:hint="eastAsia" w:asciiTheme="minorEastAsia" w:hAnsiTheme="minorEastAsia" w:cstheme="minorEastAsia"/>
                <w:sz w:val="24"/>
              </w:rPr>
              <w:t>（五）中国人民银行发行的票据；</w:t>
            </w:r>
          </w:p>
          <w:p>
            <w:pPr>
              <w:rPr>
                <w:rFonts w:asciiTheme="minorEastAsia" w:hAnsiTheme="minorEastAsia" w:cstheme="minorEastAsia"/>
                <w:sz w:val="24"/>
              </w:rPr>
            </w:pPr>
            <w:r>
              <w:rPr>
                <w:rFonts w:hint="eastAsia" w:asciiTheme="minorEastAsia" w:hAnsiTheme="minorEastAsia" w:cstheme="minorEastAsia"/>
                <w:sz w:val="24"/>
              </w:rPr>
              <w:t>（六）我国开发性金融机构和政策性银行、视同我国主权的公共部门实体发行的债券、票据和承兑的汇票；</w:t>
            </w:r>
          </w:p>
          <w:p>
            <w:pPr>
              <w:rPr>
                <w:rFonts w:asciiTheme="minorEastAsia" w:hAnsiTheme="minorEastAsia" w:cstheme="minorEastAsia"/>
                <w:sz w:val="24"/>
              </w:rPr>
            </w:pPr>
            <w:r>
              <w:rPr>
                <w:rFonts w:hint="eastAsia" w:asciiTheme="minorEastAsia" w:hAnsiTheme="minorEastAsia" w:cstheme="minorEastAsia"/>
                <w:sz w:val="24"/>
              </w:rPr>
              <w:t>（七）权重法下标准信用风险评估结果为</w:t>
            </w:r>
            <w:r>
              <w:rPr>
                <w:rFonts w:asciiTheme="minorEastAsia" w:hAnsiTheme="minorEastAsia" w:cstheme="minorEastAsia"/>
                <w:sz w:val="24"/>
              </w:rPr>
              <w:t>A+级、A级的境内外商业银行发行的债券、票据和承兑的汇票；</w:t>
            </w:r>
          </w:p>
          <w:p>
            <w:pPr>
              <w:rPr>
                <w:rFonts w:asciiTheme="minorEastAsia" w:hAnsiTheme="minorEastAsia" w:cstheme="minorEastAsia"/>
                <w:sz w:val="24"/>
              </w:rPr>
            </w:pPr>
            <w:r>
              <w:rPr>
                <w:rFonts w:hint="eastAsia" w:asciiTheme="minorEastAsia" w:hAnsiTheme="minorEastAsia" w:cstheme="minorEastAsia"/>
                <w:sz w:val="24"/>
              </w:rPr>
              <w:t>（八）我国金融资产管理公司为收购国有银行不良贷款而定向发行的债券；</w:t>
            </w:r>
          </w:p>
          <w:p>
            <w:pPr>
              <w:rPr>
                <w:rFonts w:asciiTheme="minorEastAsia" w:hAnsiTheme="minorEastAsia" w:cstheme="minorEastAsia"/>
                <w:sz w:val="24"/>
              </w:rPr>
            </w:pPr>
            <w:r>
              <w:rPr>
                <w:rFonts w:hint="eastAsia" w:asciiTheme="minorEastAsia" w:hAnsiTheme="minorEastAsia" w:cstheme="minorEastAsia"/>
                <w:sz w:val="24"/>
              </w:rPr>
              <w:t>（九）其他国家或地区政府及其中央银行，视同主权的公共部门实体，国际清算银行、国际货币基金组织、欧洲中央银行、欧盟、欧洲稳定机制和欧洲金融稳定机制，多边开发银行所发行的</w:t>
            </w:r>
            <w:r>
              <w:rPr>
                <w:rFonts w:asciiTheme="minorEastAsia" w:hAnsiTheme="minorEastAsia" w:cstheme="minorEastAsia"/>
                <w:sz w:val="24"/>
              </w:rPr>
              <w:t>BB-</w:t>
            </w:r>
            <w:r>
              <w:rPr>
                <w:rFonts w:hint="eastAsia" w:asciiTheme="minorEastAsia" w:hAnsiTheme="minorEastAsia" w:cstheme="minorEastAsia"/>
                <w:sz w:val="24"/>
              </w:rPr>
              <w:t>（含）以上级别的债券；</w:t>
            </w:r>
          </w:p>
          <w:p>
            <w:pPr>
              <w:rPr>
                <w:rFonts w:asciiTheme="minorEastAsia" w:hAnsiTheme="minorEastAsia" w:cstheme="minorEastAsia"/>
                <w:sz w:val="24"/>
              </w:rPr>
            </w:pPr>
            <w:r>
              <w:rPr>
                <w:rFonts w:hint="eastAsia" w:asciiTheme="minorEastAsia" w:hAnsiTheme="minorEastAsia" w:cstheme="minorEastAsia"/>
                <w:sz w:val="24"/>
              </w:rPr>
              <w:t>（十）公开上市交易的股票及可转换债券；</w:t>
            </w:r>
          </w:p>
          <w:p>
            <w:pPr>
              <w:rPr>
                <w:rFonts w:asciiTheme="minorEastAsia" w:hAnsiTheme="minorEastAsia" w:cstheme="minorEastAsia"/>
                <w:sz w:val="24"/>
              </w:rPr>
            </w:pPr>
            <w:r>
              <w:rPr>
                <w:rFonts w:hint="eastAsia" w:asciiTheme="minorEastAsia" w:hAnsiTheme="minorEastAsia" w:cstheme="minorEastAsia"/>
                <w:sz w:val="24"/>
              </w:rPr>
              <w:t>（十一）依法可以质押的具有现金价值的人寿保险单；</w:t>
            </w:r>
          </w:p>
          <w:p>
            <w:pPr>
              <w:rPr>
                <w:rFonts w:asciiTheme="minorEastAsia" w:hAnsiTheme="minorEastAsia" w:cstheme="minorEastAsia"/>
                <w:sz w:val="24"/>
              </w:rPr>
            </w:pPr>
            <w:r>
              <w:rPr>
                <w:rFonts w:hint="eastAsia" w:asciiTheme="minorEastAsia" w:hAnsiTheme="minorEastAsia" w:cstheme="minorEastAsia"/>
                <w:sz w:val="24"/>
              </w:rPr>
              <w:t>（十二）投资于以上金融工具的可转让基金份额，且基金应每天公开报价。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vAlign w:val="center"/>
          </w:tcPr>
          <w:p>
            <w:pPr>
              <w:jc w:val="center"/>
              <w:rPr>
                <w:rFonts w:asciiTheme="minorEastAsia" w:hAnsiTheme="minorEastAsia" w:cstheme="minorEastAsia"/>
                <w:sz w:val="24"/>
              </w:rPr>
            </w:pPr>
          </w:p>
        </w:tc>
        <w:tc>
          <w:tcPr>
            <w:tcW w:w="10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应收账款</w:t>
            </w:r>
          </w:p>
        </w:tc>
        <w:tc>
          <w:tcPr>
            <w:tcW w:w="6078" w:type="dxa"/>
            <w:vAlign w:val="center"/>
          </w:tcPr>
          <w:p>
            <w:pPr>
              <w:rPr>
                <w:rFonts w:asciiTheme="minorEastAsia" w:hAnsiTheme="minorEastAsia" w:cstheme="minorEastAsia"/>
                <w:sz w:val="24"/>
              </w:rPr>
            </w:pPr>
            <w:r>
              <w:rPr>
                <w:rFonts w:hint="eastAsia" w:asciiTheme="minorEastAsia" w:hAnsiTheme="minorEastAsia" w:cstheme="minorEastAsia"/>
                <w:sz w:val="24"/>
              </w:rPr>
              <w:t>原始期限不超过</w:t>
            </w:r>
            <w:r>
              <w:rPr>
                <w:rFonts w:asciiTheme="minorEastAsia" w:hAnsiTheme="minorEastAsia" w:cstheme="minorEastAsia"/>
                <w:sz w:val="24"/>
              </w:rPr>
              <w:t>1年的财务应收账款：</w:t>
            </w:r>
          </w:p>
          <w:p>
            <w:pPr>
              <w:rPr>
                <w:rFonts w:asciiTheme="minorEastAsia" w:hAnsiTheme="minorEastAsia" w:cstheme="minorEastAsia"/>
                <w:sz w:val="24"/>
              </w:rPr>
            </w:pPr>
            <w:r>
              <w:rPr>
                <w:rFonts w:hint="eastAsia" w:asciiTheme="minorEastAsia" w:hAnsiTheme="minorEastAsia" w:cstheme="minorEastAsia"/>
                <w:sz w:val="24"/>
              </w:rPr>
              <w:t>（一）销售产生的债权；</w:t>
            </w:r>
          </w:p>
          <w:p>
            <w:pPr>
              <w:rPr>
                <w:rFonts w:asciiTheme="minorEastAsia" w:hAnsiTheme="minorEastAsia" w:cstheme="minorEastAsia"/>
                <w:sz w:val="24"/>
              </w:rPr>
            </w:pPr>
            <w:r>
              <w:rPr>
                <w:rFonts w:hint="eastAsia" w:asciiTheme="minorEastAsia" w:hAnsiTheme="minorEastAsia" w:cstheme="minorEastAsia"/>
                <w:sz w:val="24"/>
              </w:rPr>
              <w:t>（二）出租产生的债权；</w:t>
            </w:r>
          </w:p>
          <w:p>
            <w:pPr>
              <w:rPr>
                <w:rFonts w:asciiTheme="minorEastAsia" w:hAnsiTheme="minorEastAsia" w:cstheme="minorEastAsia"/>
                <w:sz w:val="24"/>
              </w:rPr>
            </w:pPr>
            <w:r>
              <w:rPr>
                <w:rFonts w:hint="eastAsia" w:asciiTheme="minorEastAsia" w:hAnsiTheme="minorEastAsia" w:cstheme="minorEastAsia"/>
                <w:sz w:val="24"/>
              </w:rPr>
              <w:t>（三）提供服务产生的债权；</w:t>
            </w:r>
          </w:p>
          <w:p>
            <w:pPr>
              <w:rPr>
                <w:rFonts w:asciiTheme="minorEastAsia" w:hAnsiTheme="minorEastAsia" w:cstheme="minorEastAsia"/>
                <w:sz w:val="24"/>
              </w:rPr>
            </w:pPr>
            <w:r>
              <w:rPr>
                <w:rFonts w:hint="eastAsia" w:asciiTheme="minorEastAsia" w:hAnsiTheme="minorEastAsia" w:cstheme="minorEastAsia"/>
                <w:sz w:val="24"/>
              </w:rPr>
              <w:t>合格应收账款不包括与资产证券化、从属参与或信用衍生工具相关的应收账款。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vAlign w:val="center"/>
          </w:tcPr>
          <w:p>
            <w:pPr>
              <w:jc w:val="center"/>
              <w:rPr>
                <w:rFonts w:asciiTheme="minorEastAsia" w:hAnsiTheme="minorEastAsia" w:cstheme="minorEastAsia"/>
                <w:sz w:val="24"/>
              </w:rPr>
            </w:pPr>
          </w:p>
        </w:tc>
        <w:tc>
          <w:tcPr>
            <w:tcW w:w="10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商用房地产和居住用房地产</w:t>
            </w:r>
          </w:p>
        </w:tc>
        <w:tc>
          <w:tcPr>
            <w:tcW w:w="6078" w:type="dxa"/>
            <w:vAlign w:val="center"/>
          </w:tcPr>
          <w:p>
            <w:pPr>
              <w:rPr>
                <w:rFonts w:asciiTheme="minorEastAsia" w:hAnsiTheme="minorEastAsia" w:cstheme="minorEastAsia"/>
                <w:sz w:val="24"/>
              </w:rPr>
            </w:pPr>
            <w:r>
              <w:rPr>
                <w:rFonts w:hint="eastAsia" w:asciiTheme="minorEastAsia" w:hAnsiTheme="minorEastAsia" w:cstheme="minorEastAsia"/>
                <w:sz w:val="24"/>
              </w:rPr>
              <w:t>（一）依法有权处置的国有土地使用权及地上商用房、居住用房，不含工业用房；</w:t>
            </w:r>
          </w:p>
          <w:p>
            <w:pPr>
              <w:rPr>
                <w:rFonts w:asciiTheme="minorEastAsia" w:hAnsiTheme="minorEastAsia" w:cstheme="minorEastAsia"/>
                <w:sz w:val="24"/>
              </w:rPr>
            </w:pPr>
            <w:r>
              <w:rPr>
                <w:rFonts w:hint="eastAsia" w:asciiTheme="minorEastAsia" w:hAnsiTheme="minorEastAsia" w:cstheme="minorEastAsia"/>
                <w:sz w:val="24"/>
              </w:rPr>
              <w:t>（二）以出让方式取得的用于建设商用房或居住用房的土地使用权。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vAlign w:val="center"/>
          </w:tcPr>
          <w:p>
            <w:pPr>
              <w:jc w:val="center"/>
              <w:rPr>
                <w:rFonts w:asciiTheme="minorEastAsia" w:hAnsiTheme="minorEastAsia" w:cstheme="minorEastAsia"/>
                <w:sz w:val="24"/>
              </w:rPr>
            </w:pPr>
          </w:p>
        </w:tc>
        <w:tc>
          <w:tcPr>
            <w:tcW w:w="10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其他抵质押品</w:t>
            </w:r>
          </w:p>
        </w:tc>
        <w:tc>
          <w:tcPr>
            <w:tcW w:w="6078" w:type="dxa"/>
            <w:vAlign w:val="center"/>
          </w:tcPr>
          <w:p>
            <w:pPr>
              <w:rPr>
                <w:rFonts w:asciiTheme="minorEastAsia" w:hAnsiTheme="minorEastAsia" w:cstheme="minorEastAsia"/>
                <w:sz w:val="24"/>
              </w:rPr>
            </w:pPr>
            <w:r>
              <w:rPr>
                <w:rFonts w:hint="eastAsia" w:asciiTheme="minorEastAsia" w:hAnsiTheme="minorEastAsia" w:cstheme="minorEastAsia"/>
                <w:sz w:val="24"/>
              </w:rPr>
              <w:t>金融质押品、应收账款、商用房地产、居住用房地产之外，经国家金融监督管理总局认可的符合信用风险缓释工具认定和管理要求的抵质押品。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9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净额结算</w:t>
            </w:r>
          </w:p>
        </w:tc>
        <w:tc>
          <w:tcPr>
            <w:tcW w:w="7157"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（一）表内净额结算；</w:t>
            </w:r>
          </w:p>
          <w:p>
            <w:pPr>
              <w:rPr>
                <w:rFonts w:asciiTheme="minorEastAsia" w:hAnsiTheme="minorEastAsia" w:cstheme="minorEastAsia"/>
                <w:sz w:val="24"/>
              </w:rPr>
            </w:pPr>
            <w:r>
              <w:rPr>
                <w:rFonts w:hint="eastAsia" w:asciiTheme="minorEastAsia" w:hAnsiTheme="minorEastAsia" w:cstheme="minorEastAsia"/>
                <w:sz w:val="24"/>
              </w:rPr>
              <w:t>（二）回购交易净额结算；</w:t>
            </w:r>
          </w:p>
          <w:p>
            <w:pPr>
              <w:rPr>
                <w:rFonts w:asciiTheme="minorEastAsia" w:hAnsiTheme="minorEastAsia" w:cstheme="minorEastAsia"/>
                <w:sz w:val="24"/>
              </w:rPr>
            </w:pPr>
            <w:r>
              <w:rPr>
                <w:rFonts w:hint="eastAsia" w:asciiTheme="minorEastAsia" w:hAnsiTheme="minorEastAsia" w:cstheme="minorEastAsia"/>
                <w:sz w:val="24"/>
              </w:rPr>
              <w:t>（三）场外衍生工具及交易账簿信用衍生工具净额结算。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保证</w:t>
            </w:r>
          </w:p>
        </w:tc>
        <w:tc>
          <w:tcPr>
            <w:tcW w:w="7157"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（一）风险权重低于交易对手的主权、金融机构、一般公司等实体；</w:t>
            </w:r>
          </w:p>
          <w:p>
            <w:pPr>
              <w:rPr>
                <w:rFonts w:asciiTheme="minorEastAsia" w:hAnsiTheme="minorEastAsia" w:cstheme="minorEastAsia"/>
                <w:sz w:val="24"/>
              </w:rPr>
            </w:pPr>
            <w:r>
              <w:rPr>
                <w:rFonts w:hint="eastAsia" w:asciiTheme="minorEastAsia" w:hAnsiTheme="minorEastAsia" w:cstheme="minorEastAsia"/>
                <w:sz w:val="24"/>
              </w:rPr>
              <w:t>（二）如果信用保护专门提供给资产证券化风险暴露，该实体当前外部信用评级在</w:t>
            </w:r>
            <w:r>
              <w:rPr>
                <w:rFonts w:asciiTheme="minorEastAsia" w:hAnsiTheme="minorEastAsia" w:cstheme="minorEastAsia"/>
                <w:sz w:val="24"/>
              </w:rPr>
              <w:t>BBB-（含）以上</w:t>
            </w:r>
            <w:r>
              <w:rPr>
                <w:rFonts w:hint="eastAsia" w:asciiTheme="minorEastAsia" w:hAnsiTheme="minorEastAsia" w:cstheme="minorEastAsia"/>
                <w:sz w:val="24"/>
              </w:rPr>
              <w:t>，</w:t>
            </w:r>
            <w:r>
              <w:rPr>
                <w:rFonts w:asciiTheme="minorEastAsia" w:hAnsiTheme="minorEastAsia" w:cstheme="minorEastAsia"/>
                <w:sz w:val="24"/>
              </w:rPr>
              <w:t>且在提供信用保护时外部信用评级在A-（含）以上。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信用衍生工具</w:t>
            </w:r>
          </w:p>
        </w:tc>
        <w:tc>
          <w:tcPr>
            <w:tcW w:w="7157"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（一）信用违约互换、信用违约互换指数、信用风险缓释凭证、信用风险缓释合约、信用保护合约、信用保护凭证等具有信用违约互换功能的信用衍生工具；</w:t>
            </w:r>
            <w:r>
              <w:rPr>
                <w:rFonts w:asciiTheme="minorEastAsia" w:hAnsiTheme="minorEastAsia" w:cstheme="minorEastAsia"/>
                <w:sz w:val="24"/>
              </w:rPr>
              <w:t xml:space="preserve"> </w:t>
            </w:r>
          </w:p>
          <w:p>
            <w:pPr>
              <w:rPr>
                <w:rFonts w:asciiTheme="minorEastAsia" w:hAnsiTheme="minorEastAsia" w:cstheme="minorEastAsia"/>
                <w:sz w:val="24"/>
              </w:rPr>
            </w:pPr>
            <w:r>
              <w:rPr>
                <w:rFonts w:hint="eastAsia" w:asciiTheme="minorEastAsia" w:hAnsiTheme="minorEastAsia" w:cstheme="minorEastAsia"/>
                <w:sz w:val="24"/>
              </w:rPr>
              <w:t>（二）具有总收益互换功能的信用衍生工具。</w:t>
            </w:r>
          </w:p>
        </w:tc>
      </w:tr>
    </w:tbl>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若无相应的外部评级，商业银行可将内部评级结果映射到外部评级以判断信用风险缓释工具的合格性，但映射关系应得到国家金融监督管理总局的认可。</w:t>
      </w:r>
    </w:p>
    <w:p>
      <w:pPr>
        <w:pStyle w:val="3"/>
      </w:pPr>
      <w:r>
        <w:rPr>
          <w:rFonts w:hint="eastAsia"/>
        </w:rPr>
        <w:t>七、初级内部评级法金融质押品的标准折扣系数</w:t>
      </w:r>
    </w:p>
    <w:p>
      <w:pPr>
        <w:spacing w:line="480" w:lineRule="exact"/>
        <w:ind w:firstLine="600" w:firstLineChars="200"/>
        <w:rPr>
          <w:rFonts w:ascii="楷体" w:hAnsi="楷体" w:eastAsia="楷体" w:cs="楷体"/>
          <w:sz w:val="30"/>
          <w:szCs w:val="30"/>
        </w:rPr>
      </w:pPr>
      <w:r>
        <w:rPr>
          <w:rFonts w:hint="eastAsia" w:ascii="楷体" w:hAnsi="楷体" w:eastAsia="楷体" w:cs="楷体"/>
          <w:sz w:val="30"/>
          <w:szCs w:val="30"/>
        </w:rPr>
        <w:t>（一）</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楷体" w:hAnsi="楷体" w:eastAsia="楷体" w:cs="楷体"/>
          <w:sz w:val="30"/>
          <w:szCs w:val="30"/>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楷体" w:hAnsi="楷体" w:eastAsia="楷体" w:cs="楷体"/>
          <w:sz w:val="30"/>
          <w:szCs w:val="30"/>
        </w:rPr>
        <w:t>的标准折扣系数（</w:t>
      </w:r>
      <w:r>
        <w:rPr>
          <w:rFonts w:ascii="楷体" w:hAnsi="楷体" w:eastAsia="楷体" w:cs="楷体"/>
          <w:sz w:val="30"/>
          <w:szCs w:val="30"/>
        </w:rPr>
        <w:t>%，</w:t>
      </w:r>
      <w:r>
        <w:rPr>
          <w:rFonts w:hint="eastAsia" w:ascii="楷体" w:hAnsi="楷体" w:eastAsia="楷体" w:cs="楷体"/>
          <w:sz w:val="30"/>
          <w:szCs w:val="30"/>
        </w:rPr>
        <w:t>假定逐日盯市，逐日调整保证金和</w:t>
      </w:r>
      <w:r>
        <w:rPr>
          <w:rFonts w:ascii="楷体" w:hAnsi="楷体" w:eastAsia="楷体" w:cs="楷体"/>
          <w:sz w:val="30"/>
          <w:szCs w:val="30"/>
        </w:rPr>
        <w:t>10个交易日的持有期）：</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表4</w:t>
      </w:r>
      <w:r>
        <w:rPr>
          <w:rFonts w:ascii="楷体_GB2312" w:hAnsi="宋体" w:eastAsia="楷体_GB2312" w:cs="Times New Roman"/>
          <w:b/>
          <w:bCs/>
          <w:sz w:val="28"/>
          <w:szCs w:val="28"/>
        </w:rPr>
        <w:t xml:space="preserve"> </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e</m:t>
            </m:r>
            <m:ctrlPr>
              <w:rPr>
                <w:rFonts w:ascii="Cambria Math" w:hAnsi="Cambria Math" w:eastAsia="仿宋_GB2312" w:cs="仿宋"/>
                <w:i/>
                <w:sz w:val="28"/>
                <w:szCs w:val="28"/>
              </w:rPr>
            </m:ctrlPr>
          </m:sub>
        </m:sSub>
      </m:oMath>
      <w:r>
        <w:rPr>
          <w:rFonts w:hint="eastAsia" w:ascii="楷体_GB2312" w:hAnsi="宋体" w:eastAsia="楷体_GB2312" w:cs="Times New Roman"/>
          <w:b/>
          <w:bCs/>
          <w:sz w:val="28"/>
          <w:szCs w:val="28"/>
        </w:rPr>
        <w:t>和</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H</m:t>
            </m:r>
            <m:ctrlPr>
              <w:rPr>
                <w:rFonts w:ascii="Cambria Math" w:hAnsi="Cambria Math" w:eastAsia="仿宋_GB2312" w:cs="仿宋"/>
                <w:i/>
                <w:sz w:val="28"/>
                <w:szCs w:val="28"/>
              </w:rPr>
            </m:ctrlPr>
          </m:e>
          <m:sub>
            <m:r>
              <m:rPr/>
              <w:rPr>
                <w:rFonts w:ascii="Cambria Math" w:hAnsi="Cambria Math" w:eastAsia="仿宋_GB2312" w:cs="仿宋"/>
                <w:sz w:val="28"/>
                <w:szCs w:val="28"/>
              </w:rPr>
              <m:t>c</m:t>
            </m:r>
            <m:ctrlPr>
              <w:rPr>
                <w:rFonts w:ascii="Cambria Math" w:hAnsi="Cambria Math" w:eastAsia="仿宋_GB2312" w:cs="仿宋"/>
                <w:i/>
                <w:sz w:val="28"/>
                <w:szCs w:val="28"/>
              </w:rPr>
            </m:ctrlPr>
          </m:sub>
        </m:sSub>
      </m:oMath>
      <w:r>
        <w:rPr>
          <w:rFonts w:hint="eastAsia" w:ascii="楷体_GB2312" w:hAnsi="宋体" w:eastAsia="楷体_GB2312" w:cs="Times New Roman"/>
          <w:b/>
          <w:bCs/>
          <w:sz w:val="28"/>
          <w:szCs w:val="28"/>
        </w:rPr>
        <w:t>的标准折扣系数</w:t>
      </w:r>
    </w:p>
    <w:tbl>
      <w:tblPr>
        <w:tblStyle w:val="1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736"/>
        <w:gridCol w:w="814"/>
        <w:gridCol w:w="980"/>
        <w:gridCol w:w="1007"/>
        <w:gridCol w:w="99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2478" w:type="dxa"/>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发行等级</w:t>
            </w:r>
          </w:p>
        </w:tc>
        <w:tc>
          <w:tcPr>
            <w:tcW w:w="1736" w:type="dxa"/>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剩余期限</w:t>
            </w:r>
          </w:p>
        </w:tc>
        <w:tc>
          <w:tcPr>
            <w:tcW w:w="2801" w:type="dxa"/>
            <w:gridSpan w:val="3"/>
            <w:tcBorders>
              <w:bottom w:val="single" w:color="auto" w:sz="4"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主权</w:t>
            </w:r>
          </w:p>
        </w:tc>
        <w:tc>
          <w:tcPr>
            <w:tcW w:w="990" w:type="dxa"/>
            <w:vMerge w:val="restart"/>
            <w:vAlign w:val="center"/>
          </w:tcPr>
          <w:p>
            <w:pPr>
              <w:jc w:val="center"/>
              <w:rPr>
                <w:rFonts w:asciiTheme="minorEastAsia" w:hAnsiTheme="minorEastAsia" w:cstheme="minorEastAsia"/>
                <w:sz w:val="24"/>
                <w:vertAlign w:val="superscript"/>
              </w:rPr>
            </w:pPr>
            <w:r>
              <w:rPr>
                <w:rFonts w:hint="eastAsia" w:asciiTheme="minorEastAsia" w:hAnsiTheme="minorEastAsia" w:cstheme="minorEastAsia"/>
                <w:sz w:val="24"/>
              </w:rPr>
              <w:t>其他发行者</w:t>
            </w:r>
          </w:p>
        </w:tc>
        <w:tc>
          <w:tcPr>
            <w:tcW w:w="936" w:type="dxa"/>
            <w:vMerge w:val="restart"/>
            <w:vAlign w:val="center"/>
          </w:tcPr>
          <w:p>
            <w:pPr>
              <w:jc w:val="center"/>
              <w:rPr>
                <w:rFonts w:asciiTheme="minorEastAsia" w:hAnsiTheme="minorEastAsia" w:cstheme="minorEastAsia"/>
                <w:sz w:val="24"/>
                <w:vertAlign w:val="superscript"/>
              </w:rPr>
            </w:pPr>
            <w:r>
              <w:rPr>
                <w:rFonts w:hint="eastAsia" w:asciiTheme="minorEastAsia" w:hAnsiTheme="minorEastAsia" w:cstheme="minorEastAsia"/>
                <w:sz w:val="24"/>
              </w:rPr>
              <w:t>证券化风险暴露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2478" w:type="dxa"/>
            <w:vMerge w:val="continue"/>
            <w:tcBorders>
              <w:bottom w:val="single" w:color="auto" w:sz="4" w:space="0"/>
            </w:tcBorders>
            <w:vAlign w:val="center"/>
          </w:tcPr>
          <w:p>
            <w:pPr>
              <w:jc w:val="center"/>
              <w:rPr>
                <w:rFonts w:asciiTheme="minorEastAsia" w:hAnsiTheme="minorEastAsia" w:cstheme="minorEastAsia"/>
                <w:sz w:val="24"/>
              </w:rPr>
            </w:pPr>
          </w:p>
        </w:tc>
        <w:tc>
          <w:tcPr>
            <w:tcW w:w="1736" w:type="dxa"/>
            <w:vMerge w:val="continue"/>
            <w:tcBorders>
              <w:bottom w:val="single" w:color="auto" w:sz="4" w:space="0"/>
            </w:tcBorders>
            <w:vAlign w:val="center"/>
          </w:tcPr>
          <w:p>
            <w:pPr>
              <w:jc w:val="center"/>
              <w:rPr>
                <w:rFonts w:asciiTheme="minorEastAsia" w:hAnsiTheme="minorEastAsia" w:cstheme="minorEastAsia"/>
                <w:sz w:val="24"/>
              </w:rPr>
            </w:pPr>
          </w:p>
        </w:tc>
        <w:tc>
          <w:tcPr>
            <w:tcW w:w="814" w:type="dxa"/>
            <w:tcBorders>
              <w:bottom w:val="single" w:color="auto" w:sz="4"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风险权重为</w:t>
            </w:r>
            <w:r>
              <w:rPr>
                <w:rFonts w:asciiTheme="minorEastAsia" w:hAnsiTheme="minorEastAsia" w:cstheme="minorEastAsia"/>
                <w:sz w:val="24"/>
              </w:rPr>
              <w:t>0%</w:t>
            </w:r>
          </w:p>
        </w:tc>
        <w:tc>
          <w:tcPr>
            <w:tcW w:w="980" w:type="dxa"/>
            <w:tcBorders>
              <w:bottom w:val="single" w:color="auto" w:sz="4"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风险权重小于</w:t>
            </w:r>
            <w:r>
              <w:rPr>
                <w:rFonts w:asciiTheme="minorEastAsia" w:hAnsiTheme="minorEastAsia" w:cstheme="minorEastAsia"/>
                <w:sz w:val="24"/>
              </w:rPr>
              <w:t>100%</w:t>
            </w:r>
          </w:p>
        </w:tc>
        <w:tc>
          <w:tcPr>
            <w:tcW w:w="1007" w:type="dxa"/>
            <w:tcBorders>
              <w:bottom w:val="single" w:color="auto" w:sz="4" w:space="0"/>
            </w:tcBorders>
            <w:vAlign w:val="center"/>
          </w:tcPr>
          <w:p>
            <w:pPr>
              <w:jc w:val="center"/>
              <w:rPr>
                <w:rFonts w:asciiTheme="minorEastAsia" w:hAnsiTheme="minorEastAsia" w:cstheme="minorEastAsia"/>
                <w:sz w:val="24"/>
              </w:rPr>
            </w:pPr>
            <w:r>
              <w:rPr>
                <w:rFonts w:hint="eastAsia" w:asciiTheme="minorEastAsia" w:hAnsiTheme="minorEastAsia" w:cstheme="minorEastAsia"/>
                <w:sz w:val="24"/>
              </w:rPr>
              <w:t>风险权重为</w:t>
            </w:r>
            <w:r>
              <w:rPr>
                <w:rFonts w:asciiTheme="minorEastAsia" w:hAnsiTheme="minorEastAsia" w:cstheme="minorEastAsia"/>
                <w:sz w:val="24"/>
              </w:rPr>
              <w:t>100%</w:t>
            </w:r>
          </w:p>
        </w:tc>
        <w:tc>
          <w:tcPr>
            <w:tcW w:w="990" w:type="dxa"/>
            <w:vMerge w:val="continue"/>
            <w:tcBorders>
              <w:bottom w:val="single" w:color="auto" w:sz="4" w:space="0"/>
            </w:tcBorders>
            <w:vAlign w:val="center"/>
          </w:tcPr>
          <w:p>
            <w:pPr>
              <w:jc w:val="center"/>
              <w:rPr>
                <w:rFonts w:asciiTheme="minorEastAsia" w:hAnsiTheme="minorEastAsia" w:cstheme="minorEastAsia"/>
                <w:sz w:val="24"/>
              </w:rPr>
            </w:pPr>
          </w:p>
        </w:tc>
        <w:tc>
          <w:tcPr>
            <w:tcW w:w="936" w:type="dxa"/>
            <w:vMerge w:val="continue"/>
            <w:tcBorders>
              <w:bottom w:val="single" w:color="auto" w:sz="4" w:space="0"/>
            </w:tcBorders>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restart"/>
            <w:vAlign w:val="center"/>
          </w:tcPr>
          <w:p>
            <w:pPr>
              <w:rPr>
                <w:rFonts w:asciiTheme="minorEastAsia" w:hAnsiTheme="minorEastAsia" w:cstheme="minorEastAsia"/>
                <w:sz w:val="24"/>
              </w:rPr>
            </w:pPr>
            <w:r>
              <w:rPr>
                <w:rFonts w:hint="eastAsia" w:asciiTheme="minorEastAsia" w:hAnsiTheme="minorEastAsia" w:cstheme="minorEastAsia"/>
                <w:sz w:val="24"/>
              </w:rPr>
              <w:t>我国财政部发行的国债，中国人民银行发行的票据，我国开发性金融机构和政策性银行、视同我国主权的公共部门实体、权重法下标准信用风险评估结果为A+级、A级的境内外商业银行发行的债券、票据和承兑的汇票</w:t>
            </w:r>
          </w:p>
        </w:tc>
        <w:tc>
          <w:tcPr>
            <w:tcW w:w="17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1年</w:t>
            </w:r>
          </w:p>
        </w:tc>
        <w:tc>
          <w:tcPr>
            <w:tcW w:w="814" w:type="dxa"/>
            <w:vAlign w:val="center"/>
          </w:tcPr>
          <w:p>
            <w:pPr>
              <w:jc w:val="center"/>
              <w:rPr>
                <w:rFonts w:asciiTheme="minorEastAsia" w:hAnsiTheme="minorEastAsia" w:cstheme="minorEastAsia"/>
                <w:sz w:val="24"/>
              </w:rPr>
            </w:pPr>
            <w:r>
              <w:rPr>
                <w:rFonts w:asciiTheme="minorEastAsia" w:hAnsiTheme="minorEastAsia" w:cstheme="minorEastAsia"/>
                <w:sz w:val="24"/>
              </w:rPr>
              <w:t>0.5</w:t>
            </w:r>
          </w:p>
        </w:tc>
        <w:tc>
          <w:tcPr>
            <w:tcW w:w="980" w:type="dxa"/>
            <w:vAlign w:val="center"/>
          </w:tcPr>
          <w:p>
            <w:pPr>
              <w:jc w:val="center"/>
              <w:rPr>
                <w:rFonts w:asciiTheme="minorEastAsia" w:hAnsiTheme="minorEastAsia" w:cstheme="minorEastAsia"/>
                <w:sz w:val="24"/>
              </w:rPr>
            </w:pPr>
            <w:r>
              <w:rPr>
                <w:rFonts w:asciiTheme="minorEastAsia" w:hAnsiTheme="minorEastAsia" w:cstheme="minorEastAsia"/>
                <w:sz w:val="24"/>
              </w:rPr>
              <w:t>1</w:t>
            </w:r>
          </w:p>
        </w:tc>
        <w:tc>
          <w:tcPr>
            <w:tcW w:w="1007"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15</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1</w:t>
            </w:r>
          </w:p>
        </w:tc>
        <w:tc>
          <w:tcPr>
            <w:tcW w:w="936" w:type="dxa"/>
            <w:vAlign w:val="center"/>
          </w:tcPr>
          <w:p>
            <w:pPr>
              <w:jc w:val="center"/>
              <w:rPr>
                <w:rFonts w:asciiTheme="minorEastAsia" w:hAnsiTheme="minorEastAsia" w:cstheme="minorEastAsia"/>
                <w:sz w:val="24"/>
              </w:rPr>
            </w:pPr>
            <w:r>
              <w:rPr>
                <w:rFonts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&gt;1年，≤3年</w:t>
            </w:r>
          </w:p>
        </w:tc>
        <w:tc>
          <w:tcPr>
            <w:tcW w:w="814"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2</w:t>
            </w:r>
          </w:p>
        </w:tc>
        <w:tc>
          <w:tcPr>
            <w:tcW w:w="980"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3</w:t>
            </w:r>
          </w:p>
        </w:tc>
        <w:tc>
          <w:tcPr>
            <w:tcW w:w="1007" w:type="dxa"/>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3</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&gt;3年，≤5年</w:t>
            </w:r>
          </w:p>
        </w:tc>
        <w:tc>
          <w:tcPr>
            <w:tcW w:w="814" w:type="dxa"/>
            <w:vMerge w:val="continue"/>
            <w:vAlign w:val="center"/>
          </w:tcPr>
          <w:p>
            <w:pPr>
              <w:jc w:val="center"/>
              <w:rPr>
                <w:rFonts w:asciiTheme="minorEastAsia" w:hAnsiTheme="minorEastAsia" w:cstheme="minorEastAsia"/>
                <w:sz w:val="24"/>
              </w:rPr>
            </w:pPr>
          </w:p>
        </w:tc>
        <w:tc>
          <w:tcPr>
            <w:tcW w:w="980" w:type="dxa"/>
            <w:vMerge w:val="continue"/>
            <w:vAlign w:val="center"/>
          </w:tcPr>
          <w:p>
            <w:pPr>
              <w:jc w:val="center"/>
              <w:rPr>
                <w:rFonts w:asciiTheme="minorEastAsia" w:hAnsiTheme="minorEastAsia" w:cstheme="minorEastAsia"/>
                <w:sz w:val="24"/>
              </w:rPr>
            </w:pPr>
          </w:p>
        </w:tc>
        <w:tc>
          <w:tcPr>
            <w:tcW w:w="1007" w:type="dxa"/>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&gt;5年，≤10年</w:t>
            </w:r>
          </w:p>
        </w:tc>
        <w:tc>
          <w:tcPr>
            <w:tcW w:w="814"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980"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6</w:t>
            </w:r>
          </w:p>
        </w:tc>
        <w:tc>
          <w:tcPr>
            <w:tcW w:w="1007" w:type="dxa"/>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6</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&gt;10年</w:t>
            </w:r>
          </w:p>
        </w:tc>
        <w:tc>
          <w:tcPr>
            <w:tcW w:w="814" w:type="dxa"/>
            <w:vMerge w:val="continue"/>
            <w:vAlign w:val="center"/>
          </w:tcPr>
          <w:p>
            <w:pPr>
              <w:jc w:val="center"/>
              <w:rPr>
                <w:rFonts w:asciiTheme="minorEastAsia" w:hAnsiTheme="minorEastAsia" w:cstheme="minorEastAsia"/>
                <w:sz w:val="24"/>
              </w:rPr>
            </w:pPr>
          </w:p>
        </w:tc>
        <w:tc>
          <w:tcPr>
            <w:tcW w:w="980" w:type="dxa"/>
            <w:vMerge w:val="continue"/>
            <w:vAlign w:val="center"/>
          </w:tcPr>
          <w:p>
            <w:pPr>
              <w:jc w:val="center"/>
              <w:rPr>
                <w:rFonts w:asciiTheme="minorEastAsia" w:hAnsiTheme="minorEastAsia" w:cstheme="minorEastAsia"/>
                <w:sz w:val="24"/>
              </w:rPr>
            </w:pPr>
          </w:p>
        </w:tc>
        <w:tc>
          <w:tcPr>
            <w:tcW w:w="1007" w:type="dxa"/>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12</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restart"/>
            <w:vAlign w:val="center"/>
          </w:tcPr>
          <w:p>
            <w:pPr>
              <w:rPr>
                <w:rFonts w:asciiTheme="minorEastAsia" w:hAnsiTheme="minorEastAsia" w:cstheme="minorEastAsia"/>
                <w:sz w:val="24"/>
              </w:rPr>
            </w:pPr>
          </w:p>
          <w:p>
            <w:pPr>
              <w:rPr>
                <w:rFonts w:asciiTheme="minorEastAsia" w:hAnsiTheme="minorEastAsia" w:cstheme="minorEastAsia"/>
                <w:sz w:val="24"/>
              </w:rPr>
            </w:pPr>
            <w:r>
              <w:rPr>
                <w:rFonts w:asciiTheme="minorEastAsia" w:hAnsiTheme="minorEastAsia" w:cstheme="minorEastAsia"/>
                <w:sz w:val="24"/>
              </w:rPr>
              <w:t>AAA至AA-/A-1</w:t>
            </w:r>
          </w:p>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1年</w:t>
            </w:r>
          </w:p>
        </w:tc>
        <w:tc>
          <w:tcPr>
            <w:tcW w:w="2801" w:type="dxa"/>
            <w:gridSpan w:val="3"/>
            <w:vAlign w:val="center"/>
          </w:tcPr>
          <w:p>
            <w:pPr>
              <w:jc w:val="center"/>
              <w:rPr>
                <w:rFonts w:asciiTheme="minorEastAsia" w:hAnsiTheme="minorEastAsia" w:cstheme="minorEastAsia"/>
                <w:sz w:val="24"/>
              </w:rPr>
            </w:pPr>
            <w:r>
              <w:rPr>
                <w:rFonts w:asciiTheme="minorEastAsia" w:hAnsiTheme="minorEastAsia" w:cstheme="minorEastAsia"/>
                <w:sz w:val="24"/>
              </w:rPr>
              <w:t>0.5</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1</w:t>
            </w:r>
          </w:p>
        </w:tc>
        <w:tc>
          <w:tcPr>
            <w:tcW w:w="936" w:type="dxa"/>
            <w:vAlign w:val="center"/>
          </w:tcPr>
          <w:p>
            <w:pPr>
              <w:jc w:val="center"/>
              <w:rPr>
                <w:rFonts w:asciiTheme="minorEastAsia" w:hAnsiTheme="minorEastAsia" w:cstheme="minorEastAsia"/>
                <w:sz w:val="24"/>
              </w:rPr>
            </w:pPr>
            <w:r>
              <w:rPr>
                <w:rFonts w:asciiTheme="minorEastAsia" w:hAnsiTheme="minorEastAsia" w:cs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&gt;1年，≤3年</w:t>
            </w:r>
          </w:p>
        </w:tc>
        <w:tc>
          <w:tcPr>
            <w:tcW w:w="2801" w:type="dxa"/>
            <w:gridSpan w:val="3"/>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2</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3</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&gt;3年，≤5年</w:t>
            </w:r>
          </w:p>
        </w:tc>
        <w:tc>
          <w:tcPr>
            <w:tcW w:w="2801" w:type="dxa"/>
            <w:gridSpan w:val="3"/>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&gt;5年，≤10年</w:t>
            </w:r>
          </w:p>
        </w:tc>
        <w:tc>
          <w:tcPr>
            <w:tcW w:w="2801" w:type="dxa"/>
            <w:gridSpan w:val="3"/>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6</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&gt;10年</w:t>
            </w:r>
          </w:p>
        </w:tc>
        <w:tc>
          <w:tcPr>
            <w:tcW w:w="2801" w:type="dxa"/>
            <w:gridSpan w:val="3"/>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12</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restart"/>
            <w:vAlign w:val="center"/>
          </w:tcPr>
          <w:p>
            <w:pPr>
              <w:jc w:val="left"/>
              <w:rPr>
                <w:rFonts w:asciiTheme="minorEastAsia" w:hAnsiTheme="minorEastAsia" w:cstheme="minorEastAsia"/>
                <w:sz w:val="24"/>
              </w:rPr>
            </w:pPr>
            <w:r>
              <w:rPr>
                <w:rFonts w:asciiTheme="minorEastAsia" w:hAnsiTheme="minorEastAsia" w:cstheme="minorEastAsia"/>
                <w:sz w:val="24"/>
              </w:rPr>
              <w:t xml:space="preserve">A+至BBB-/A-2/A-3/P-3 </w:t>
            </w:r>
          </w:p>
        </w:tc>
        <w:tc>
          <w:tcPr>
            <w:tcW w:w="17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1年</w:t>
            </w:r>
          </w:p>
        </w:tc>
        <w:tc>
          <w:tcPr>
            <w:tcW w:w="2801" w:type="dxa"/>
            <w:gridSpan w:val="3"/>
            <w:vAlign w:val="center"/>
          </w:tcPr>
          <w:p>
            <w:pPr>
              <w:jc w:val="center"/>
              <w:rPr>
                <w:rFonts w:asciiTheme="minorEastAsia" w:hAnsiTheme="minorEastAsia" w:cstheme="minorEastAsia"/>
                <w:sz w:val="24"/>
              </w:rPr>
            </w:pPr>
            <w:r>
              <w:rPr>
                <w:rFonts w:asciiTheme="minorEastAsia" w:hAnsiTheme="minorEastAsia" w:cstheme="minorEastAsia"/>
                <w:sz w:val="24"/>
              </w:rPr>
              <w:t>1</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2</w:t>
            </w:r>
          </w:p>
        </w:tc>
        <w:tc>
          <w:tcPr>
            <w:tcW w:w="936" w:type="dxa"/>
            <w:vAlign w:val="center"/>
          </w:tcPr>
          <w:p>
            <w:pPr>
              <w:jc w:val="center"/>
              <w:rPr>
                <w:rFonts w:asciiTheme="minorEastAsia" w:hAnsiTheme="minorEastAsia" w:cstheme="minorEastAsia"/>
                <w:sz w:val="24"/>
              </w:rPr>
            </w:pPr>
            <w:r>
              <w:rPr>
                <w:rFonts w:asciiTheme="minorEastAsia" w:hAnsiTheme="minorEastAsia" w:cs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&gt;1年，≤3年</w:t>
            </w:r>
          </w:p>
        </w:tc>
        <w:tc>
          <w:tcPr>
            <w:tcW w:w="2801" w:type="dxa"/>
            <w:gridSpan w:val="3"/>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3</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&gt;3年，≤5年</w:t>
            </w:r>
          </w:p>
        </w:tc>
        <w:tc>
          <w:tcPr>
            <w:tcW w:w="2801" w:type="dxa"/>
            <w:gridSpan w:val="3"/>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6</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&gt;5年，≤10年</w:t>
            </w:r>
          </w:p>
        </w:tc>
        <w:tc>
          <w:tcPr>
            <w:tcW w:w="2801" w:type="dxa"/>
            <w:gridSpan w:val="3"/>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6</w:t>
            </w: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12</w:t>
            </w:r>
          </w:p>
        </w:tc>
        <w:tc>
          <w:tcPr>
            <w:tcW w:w="936" w:type="dxa"/>
            <w:vMerge w:val="restart"/>
            <w:vAlign w:val="center"/>
          </w:tcPr>
          <w:p>
            <w:pPr>
              <w:jc w:val="center"/>
              <w:rPr>
                <w:rFonts w:asciiTheme="minorEastAsia" w:hAnsiTheme="minorEastAsia" w:cstheme="minorEastAsia"/>
                <w:sz w:val="24"/>
              </w:rPr>
            </w:pPr>
            <w:r>
              <w:rPr>
                <w:rFonts w:asciiTheme="minorEastAsia" w:hAnsiTheme="minorEastAsia" w:cstheme="minorEastAsia"/>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Merge w:val="continue"/>
            <w:vAlign w:val="center"/>
          </w:tcPr>
          <w:p>
            <w:pPr>
              <w:rPr>
                <w:rFonts w:asciiTheme="minorEastAsia" w:hAnsiTheme="minorEastAsia" w:cstheme="minorEastAsia"/>
                <w:sz w:val="24"/>
              </w:rPr>
            </w:pPr>
          </w:p>
        </w:tc>
        <w:tc>
          <w:tcPr>
            <w:tcW w:w="1736" w:type="dxa"/>
            <w:vAlign w:val="center"/>
          </w:tcPr>
          <w:p>
            <w:pPr>
              <w:jc w:val="center"/>
              <w:rPr>
                <w:rFonts w:asciiTheme="minorEastAsia" w:hAnsiTheme="minorEastAsia" w:cstheme="minorEastAsia"/>
                <w:sz w:val="24"/>
              </w:rPr>
            </w:pPr>
            <w:r>
              <w:rPr>
                <w:rFonts w:asciiTheme="minorEastAsia" w:hAnsiTheme="minorEastAsia" w:cstheme="minorEastAsia"/>
                <w:sz w:val="24"/>
              </w:rPr>
              <w:t>&gt;10年</w:t>
            </w:r>
          </w:p>
        </w:tc>
        <w:tc>
          <w:tcPr>
            <w:tcW w:w="2801" w:type="dxa"/>
            <w:gridSpan w:val="3"/>
            <w:vMerge w:val="continue"/>
            <w:vAlign w:val="center"/>
          </w:tcPr>
          <w:p>
            <w:pPr>
              <w:jc w:val="center"/>
              <w:rPr>
                <w:rFonts w:asciiTheme="minorEastAsia" w:hAnsiTheme="minorEastAsia" w:cstheme="minorEastAsia"/>
                <w:sz w:val="24"/>
              </w:rPr>
            </w:pPr>
          </w:p>
        </w:tc>
        <w:tc>
          <w:tcPr>
            <w:tcW w:w="990" w:type="dxa"/>
            <w:vAlign w:val="center"/>
          </w:tcPr>
          <w:p>
            <w:pPr>
              <w:jc w:val="center"/>
              <w:rPr>
                <w:rFonts w:asciiTheme="minorEastAsia" w:hAnsiTheme="minorEastAsia" w:cstheme="minorEastAsia"/>
                <w:sz w:val="24"/>
              </w:rPr>
            </w:pPr>
            <w:r>
              <w:rPr>
                <w:rFonts w:asciiTheme="minorEastAsia" w:hAnsiTheme="minorEastAsia" w:cstheme="minorEastAsia"/>
                <w:sz w:val="24"/>
              </w:rPr>
              <w:t>20</w:t>
            </w:r>
          </w:p>
        </w:tc>
        <w:tc>
          <w:tcPr>
            <w:tcW w:w="936" w:type="dxa"/>
            <w:vMerge w:val="continue"/>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78" w:type="dxa"/>
            <w:vAlign w:val="center"/>
          </w:tcPr>
          <w:p>
            <w:pPr>
              <w:rPr>
                <w:rFonts w:asciiTheme="minorEastAsia" w:hAnsiTheme="minorEastAsia" w:cstheme="minorEastAsia"/>
                <w:sz w:val="24"/>
              </w:rPr>
            </w:pPr>
            <w:r>
              <w:rPr>
                <w:rFonts w:asciiTheme="minorEastAsia" w:hAnsiTheme="minorEastAsia" w:cstheme="minorEastAsia"/>
                <w:sz w:val="24"/>
              </w:rPr>
              <w:t>BB+到BB-</w:t>
            </w:r>
          </w:p>
        </w:tc>
        <w:tc>
          <w:tcPr>
            <w:tcW w:w="17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不分期限</w:t>
            </w:r>
          </w:p>
        </w:tc>
        <w:tc>
          <w:tcPr>
            <w:tcW w:w="2801" w:type="dxa"/>
            <w:gridSpan w:val="3"/>
            <w:vAlign w:val="center"/>
          </w:tcPr>
          <w:p>
            <w:pPr>
              <w:jc w:val="center"/>
              <w:rPr>
                <w:rFonts w:asciiTheme="minorEastAsia" w:hAnsiTheme="minorEastAsia" w:cstheme="minorEastAsia"/>
                <w:sz w:val="24"/>
              </w:rPr>
            </w:pPr>
            <w:r>
              <w:rPr>
                <w:rFonts w:asciiTheme="minorEastAsia" w:hAnsiTheme="minorEastAsia" w:cstheme="minorEastAsia"/>
                <w:sz w:val="24"/>
              </w:rPr>
              <w:t>15</w:t>
            </w:r>
          </w:p>
        </w:tc>
        <w:tc>
          <w:tcPr>
            <w:tcW w:w="99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不合格</w:t>
            </w:r>
          </w:p>
        </w:tc>
        <w:tc>
          <w:tcPr>
            <w:tcW w:w="936"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具有现金价值的人寿保险单</w:t>
            </w:r>
          </w:p>
        </w:tc>
        <w:tc>
          <w:tcPr>
            <w:tcW w:w="4727" w:type="dxa"/>
            <w:gridSpan w:val="5"/>
            <w:vAlign w:val="center"/>
          </w:tcPr>
          <w:p>
            <w:pPr>
              <w:widowControl/>
              <w:jc w:val="center"/>
              <w:rPr>
                <w:rFonts w:asciiTheme="minorEastAsia" w:hAnsiTheme="minorEastAsia" w:cstheme="minorEastAsia"/>
                <w:sz w:val="24"/>
              </w:rPr>
            </w:pPr>
            <w:r>
              <w:rPr>
                <w:rFonts w:asciiTheme="minorEastAsia" w:hAnsiTheme="minorEastAsia" w:cs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主要指数股票、可转换债券和黄金</w:t>
            </w:r>
          </w:p>
        </w:tc>
        <w:tc>
          <w:tcPr>
            <w:tcW w:w="4727" w:type="dxa"/>
            <w:gridSpan w:val="5"/>
            <w:vAlign w:val="center"/>
          </w:tcPr>
          <w:p>
            <w:pPr>
              <w:jc w:val="center"/>
              <w:rPr>
                <w:rFonts w:asciiTheme="minorEastAsia" w:hAnsiTheme="minorEastAsia" w:cstheme="minorEastAsia"/>
                <w:sz w:val="24"/>
              </w:rPr>
            </w:pPr>
            <w:r>
              <w:rPr>
                <w:rFonts w:asciiTheme="minorEastAsia" w:hAnsiTheme="minorEastAsia" w:cs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在认可交易所挂牌的其他股票、可转换债券</w:t>
            </w:r>
          </w:p>
        </w:tc>
        <w:tc>
          <w:tcPr>
            <w:tcW w:w="4727" w:type="dxa"/>
            <w:gridSpan w:val="5"/>
            <w:vAlign w:val="center"/>
          </w:tcPr>
          <w:p>
            <w:pPr>
              <w:jc w:val="center"/>
              <w:rPr>
                <w:rFonts w:asciiTheme="minorEastAsia" w:hAnsiTheme="minorEastAsia" w:cstheme="minorEastAsia"/>
                <w:sz w:val="24"/>
              </w:rPr>
            </w:pPr>
            <w:r>
              <w:rPr>
                <w:rFonts w:asciiTheme="minorEastAsia" w:hAnsiTheme="minorEastAsia" w:cstheme="minor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可转让基金份额</w:t>
            </w:r>
          </w:p>
        </w:tc>
        <w:tc>
          <w:tcPr>
            <w:tcW w:w="4727" w:type="dxa"/>
            <w:gridSpan w:val="5"/>
            <w:vAlign w:val="center"/>
          </w:tcPr>
          <w:p>
            <w:pPr>
              <w:jc w:val="center"/>
              <w:rPr>
                <w:rFonts w:asciiTheme="minorEastAsia" w:hAnsiTheme="minorEastAsia" w:cstheme="minorEastAsia"/>
                <w:sz w:val="24"/>
              </w:rPr>
            </w:pPr>
            <w:r>
              <w:rPr>
                <w:rFonts w:hint="eastAsia" w:asciiTheme="minorEastAsia" w:hAnsiTheme="minorEastAsia" w:cstheme="minorEastAsia"/>
                <w:sz w:val="24"/>
              </w:rPr>
              <w:t>基金所投资金融工具中最高的折扣系数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同币种现金、保证金或其他类似的工具</w:t>
            </w:r>
          </w:p>
        </w:tc>
        <w:tc>
          <w:tcPr>
            <w:tcW w:w="4727" w:type="dxa"/>
            <w:gridSpan w:val="5"/>
            <w:vAlign w:val="center"/>
          </w:tcPr>
          <w:p>
            <w:pPr>
              <w:jc w:val="center"/>
              <w:rPr>
                <w:rFonts w:asciiTheme="minorEastAsia" w:hAnsiTheme="minorEastAsia" w:cstheme="minorEastAsia"/>
                <w:sz w:val="24"/>
              </w:rPr>
            </w:pPr>
            <w:r>
              <w:rPr>
                <w:rFonts w:asciiTheme="minorEastAsia" w:hAnsiTheme="minorEastAsia" w:cstheme="min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4" w:type="dxa"/>
            <w:gridSpan w:val="2"/>
            <w:vAlign w:val="center"/>
          </w:tcPr>
          <w:p>
            <w:pPr>
              <w:rPr>
                <w:rFonts w:asciiTheme="minorEastAsia" w:hAnsiTheme="minorEastAsia" w:cstheme="minorEastAsia"/>
                <w:sz w:val="24"/>
              </w:rPr>
            </w:pPr>
            <w:r>
              <w:rPr>
                <w:rFonts w:hint="eastAsia" w:asciiTheme="minorEastAsia" w:hAnsiTheme="minorEastAsia" w:cstheme="minorEastAsia"/>
                <w:sz w:val="24"/>
              </w:rPr>
              <w:t>其他风险暴露</w:t>
            </w:r>
          </w:p>
        </w:tc>
        <w:tc>
          <w:tcPr>
            <w:tcW w:w="4727" w:type="dxa"/>
            <w:gridSpan w:val="5"/>
            <w:vAlign w:val="center"/>
          </w:tcPr>
          <w:p>
            <w:pPr>
              <w:jc w:val="center"/>
              <w:rPr>
                <w:rFonts w:asciiTheme="minorEastAsia" w:hAnsiTheme="minorEastAsia" w:cstheme="minorEastAsia"/>
                <w:sz w:val="24"/>
              </w:rPr>
            </w:pPr>
            <w:r>
              <w:rPr>
                <w:rFonts w:asciiTheme="minorEastAsia" w:hAnsiTheme="minorEastAsia" w:cstheme="minorEastAsia"/>
                <w:sz w:val="24"/>
              </w:rPr>
              <w:t>30</w:t>
            </w:r>
          </w:p>
        </w:tc>
      </w:tr>
    </w:tbl>
    <w:p>
      <w:pPr>
        <w:spacing w:line="480" w:lineRule="exact"/>
        <w:ind w:firstLine="600" w:firstLineChars="200"/>
        <w:rPr>
          <w:rFonts w:ascii="仿宋_GB2312" w:hAnsi="仿宋" w:eastAsia="仿宋_GB2312" w:cs="仿宋"/>
          <w:b/>
          <w:bCs/>
          <w:sz w:val="30"/>
          <w:szCs w:val="30"/>
          <w:u w:val="single"/>
        </w:rPr>
      </w:pPr>
      <w:r>
        <w:rPr>
          <w:rFonts w:hint="eastAsia" w:ascii="仿宋_GB2312" w:hAnsi="仿宋" w:eastAsia="仿宋_GB2312" w:cs="仿宋"/>
          <w:sz w:val="30"/>
          <w:szCs w:val="30"/>
        </w:rPr>
        <w:t>对于证券融资交易，商业银行借出不合格工具，风险暴露的折扣系数应为30%；商业银行借入不合格工具，信用风险缓释不适用。</w:t>
      </w:r>
    </w:p>
    <w:p>
      <w:pPr>
        <w:spacing w:line="480" w:lineRule="exact"/>
        <w:ind w:firstLine="600" w:firstLineChars="200"/>
        <w:rPr>
          <w:rFonts w:ascii="楷体" w:hAnsi="楷体" w:eastAsia="楷体" w:cs="楷体"/>
          <w:sz w:val="30"/>
          <w:szCs w:val="30"/>
        </w:rPr>
      </w:pPr>
      <w:r>
        <w:rPr>
          <w:rFonts w:hint="eastAsia" w:ascii="楷体" w:hAnsi="楷体" w:eastAsia="楷体" w:cs="楷体"/>
          <w:sz w:val="30"/>
          <w:szCs w:val="30"/>
        </w:rPr>
        <w:t>（二）对不同持有期、非逐日盯市，或非逐日调整保证金时折扣系数的调整</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计算质押品折扣系数分为回购类交易、其他资本市场交易和抵押贷款三种交易。每种交易的折扣系数取决于再评估的频率及交易的最低持有期。</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表5 最低持有期</w:t>
      </w:r>
    </w:p>
    <w:tbl>
      <w:tblPr>
        <w:tblStyle w:val="14"/>
        <w:tblW w:w="8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272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3" w:type="dxa"/>
          </w:tcPr>
          <w:p>
            <w:pPr>
              <w:jc w:val="center"/>
              <w:rPr>
                <w:rFonts w:asciiTheme="minorEastAsia" w:hAnsiTheme="minorEastAsia" w:cstheme="minorEastAsia"/>
                <w:sz w:val="24"/>
              </w:rPr>
            </w:pPr>
            <w:r>
              <w:rPr>
                <w:rFonts w:hint="eastAsia" w:asciiTheme="minorEastAsia" w:hAnsiTheme="minorEastAsia" w:cstheme="minorEastAsia"/>
                <w:sz w:val="24"/>
              </w:rPr>
              <w:t>交易类型</w:t>
            </w:r>
          </w:p>
        </w:tc>
        <w:tc>
          <w:tcPr>
            <w:tcW w:w="2721" w:type="dxa"/>
          </w:tcPr>
          <w:p>
            <w:pPr>
              <w:jc w:val="center"/>
              <w:rPr>
                <w:rFonts w:asciiTheme="minorEastAsia" w:hAnsiTheme="minorEastAsia" w:cstheme="minorEastAsia"/>
                <w:sz w:val="24"/>
              </w:rPr>
            </w:pPr>
            <w:r>
              <w:rPr>
                <w:rFonts w:hint="eastAsia" w:asciiTheme="minorEastAsia" w:hAnsiTheme="minorEastAsia" w:cstheme="minorEastAsia"/>
                <w:sz w:val="24"/>
              </w:rPr>
              <w:t>最低持有期</w:t>
            </w:r>
          </w:p>
        </w:tc>
        <w:tc>
          <w:tcPr>
            <w:tcW w:w="3029" w:type="dxa"/>
          </w:tcPr>
          <w:p>
            <w:pPr>
              <w:jc w:val="center"/>
              <w:rPr>
                <w:rFonts w:asciiTheme="minorEastAsia" w:hAnsiTheme="minorEastAsia" w:cstheme="minorEastAsia"/>
                <w:sz w:val="24"/>
              </w:rPr>
            </w:pPr>
            <w:r>
              <w:rPr>
                <w:rFonts w:hint="eastAsia" w:asciiTheme="minorEastAsia" w:hAnsiTheme="minorEastAsia" w:cstheme="minorEastAsia"/>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3" w:type="dxa"/>
          </w:tcPr>
          <w:p>
            <w:pPr>
              <w:jc w:val="center"/>
              <w:rPr>
                <w:rFonts w:asciiTheme="minorEastAsia" w:hAnsiTheme="minorEastAsia" w:cstheme="minorEastAsia"/>
                <w:sz w:val="24"/>
              </w:rPr>
            </w:pPr>
            <w:r>
              <w:rPr>
                <w:rFonts w:hint="eastAsia" w:asciiTheme="minorEastAsia" w:hAnsiTheme="minorEastAsia" w:cstheme="minorEastAsia"/>
                <w:sz w:val="24"/>
              </w:rPr>
              <w:t>回购类交易</w:t>
            </w:r>
          </w:p>
        </w:tc>
        <w:tc>
          <w:tcPr>
            <w:tcW w:w="2721" w:type="dxa"/>
          </w:tcPr>
          <w:p>
            <w:pPr>
              <w:jc w:val="center"/>
              <w:rPr>
                <w:rFonts w:asciiTheme="minorEastAsia" w:hAnsiTheme="minorEastAsia" w:cstheme="minorEastAsia"/>
                <w:sz w:val="24"/>
              </w:rPr>
            </w:pPr>
            <w:r>
              <w:rPr>
                <w:rFonts w:asciiTheme="minorEastAsia" w:hAnsiTheme="minorEastAsia" w:cstheme="minorEastAsia"/>
                <w:sz w:val="24"/>
              </w:rPr>
              <w:t>5个交易日</w:t>
            </w:r>
          </w:p>
        </w:tc>
        <w:tc>
          <w:tcPr>
            <w:tcW w:w="3029" w:type="dxa"/>
          </w:tcPr>
          <w:p>
            <w:pPr>
              <w:jc w:val="center"/>
              <w:rPr>
                <w:rFonts w:asciiTheme="minorEastAsia" w:hAnsiTheme="minorEastAsia" w:cstheme="minorEastAsia"/>
                <w:sz w:val="24"/>
              </w:rPr>
            </w:pPr>
            <w:r>
              <w:rPr>
                <w:rFonts w:hint="eastAsia" w:asciiTheme="minorEastAsia" w:hAnsiTheme="minorEastAsia" w:cstheme="minorEastAsia"/>
                <w:sz w:val="24"/>
              </w:rPr>
              <w:t>当日调整保证金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3" w:type="dxa"/>
          </w:tcPr>
          <w:p>
            <w:pPr>
              <w:jc w:val="center"/>
              <w:rPr>
                <w:rFonts w:asciiTheme="minorEastAsia" w:hAnsiTheme="minorEastAsia" w:cstheme="minorEastAsia"/>
                <w:sz w:val="24"/>
              </w:rPr>
            </w:pPr>
            <w:r>
              <w:rPr>
                <w:rFonts w:hint="eastAsia" w:asciiTheme="minorEastAsia" w:hAnsiTheme="minorEastAsia" w:cstheme="minorEastAsia"/>
                <w:sz w:val="24"/>
              </w:rPr>
              <w:t>其他资本市场交易</w:t>
            </w:r>
          </w:p>
        </w:tc>
        <w:tc>
          <w:tcPr>
            <w:tcW w:w="2721" w:type="dxa"/>
          </w:tcPr>
          <w:p>
            <w:pPr>
              <w:jc w:val="center"/>
              <w:rPr>
                <w:rFonts w:asciiTheme="minorEastAsia" w:hAnsiTheme="minorEastAsia" w:cstheme="minorEastAsia"/>
                <w:sz w:val="24"/>
              </w:rPr>
            </w:pPr>
            <w:r>
              <w:rPr>
                <w:rFonts w:asciiTheme="minorEastAsia" w:hAnsiTheme="minorEastAsia" w:cstheme="minorEastAsia"/>
                <w:sz w:val="24"/>
              </w:rPr>
              <w:t>10个交易日</w:t>
            </w:r>
          </w:p>
        </w:tc>
        <w:tc>
          <w:tcPr>
            <w:tcW w:w="3029" w:type="dxa"/>
          </w:tcPr>
          <w:p>
            <w:pPr>
              <w:jc w:val="center"/>
              <w:rPr>
                <w:rFonts w:asciiTheme="minorEastAsia" w:hAnsiTheme="minorEastAsia" w:cstheme="minorEastAsia"/>
                <w:sz w:val="24"/>
              </w:rPr>
            </w:pPr>
            <w:r>
              <w:rPr>
                <w:rFonts w:hint="eastAsia" w:asciiTheme="minorEastAsia" w:hAnsiTheme="minorEastAsia" w:cstheme="minorEastAsia"/>
                <w:sz w:val="24"/>
              </w:rPr>
              <w:t>当日调整保证金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3" w:type="dxa"/>
          </w:tcPr>
          <w:p>
            <w:pPr>
              <w:jc w:val="center"/>
              <w:rPr>
                <w:rFonts w:asciiTheme="minorEastAsia" w:hAnsiTheme="minorEastAsia" w:cstheme="minorEastAsia"/>
                <w:sz w:val="24"/>
              </w:rPr>
            </w:pPr>
            <w:r>
              <w:rPr>
                <w:rFonts w:hint="eastAsia" w:asciiTheme="minorEastAsia" w:hAnsiTheme="minorEastAsia" w:cstheme="minorEastAsia"/>
                <w:sz w:val="24"/>
              </w:rPr>
              <w:t>抵押贷款</w:t>
            </w:r>
          </w:p>
        </w:tc>
        <w:tc>
          <w:tcPr>
            <w:tcW w:w="2721" w:type="dxa"/>
          </w:tcPr>
          <w:p>
            <w:pPr>
              <w:jc w:val="center"/>
              <w:rPr>
                <w:rFonts w:asciiTheme="minorEastAsia" w:hAnsiTheme="minorEastAsia" w:cstheme="minorEastAsia"/>
                <w:sz w:val="24"/>
              </w:rPr>
            </w:pPr>
            <w:r>
              <w:rPr>
                <w:rFonts w:asciiTheme="minorEastAsia" w:hAnsiTheme="minorEastAsia" w:cstheme="minorEastAsia"/>
                <w:sz w:val="24"/>
              </w:rPr>
              <w:t>20个交易日</w:t>
            </w:r>
          </w:p>
        </w:tc>
        <w:tc>
          <w:tcPr>
            <w:tcW w:w="3029" w:type="dxa"/>
          </w:tcPr>
          <w:p>
            <w:pPr>
              <w:jc w:val="center"/>
              <w:rPr>
                <w:rFonts w:asciiTheme="minorEastAsia" w:hAnsiTheme="minorEastAsia" w:cstheme="minorEastAsia"/>
                <w:sz w:val="24"/>
              </w:rPr>
            </w:pPr>
            <w:r>
              <w:rPr>
                <w:rFonts w:hint="eastAsia" w:asciiTheme="minorEastAsia" w:hAnsiTheme="minorEastAsia" w:cstheme="minorEastAsia"/>
                <w:sz w:val="24"/>
              </w:rPr>
              <w:t>当日重新估值</w:t>
            </w:r>
          </w:p>
        </w:tc>
      </w:tr>
    </w:tbl>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如果交易持有期限不是10个交易日，或者不是标准折扣系数中约定的每日调整或重新估值，依据交易类型和再评估频率调整标准折扣系数：</w:t>
      </w:r>
    </w:p>
    <w:p>
      <w:pPr>
        <w:ind w:firstLine="560" w:firstLineChars="200"/>
        <w:rPr>
          <w:rFonts w:ascii="仿宋_GB2312" w:eastAsia="仿宋_GB2312"/>
          <w:sz w:val="28"/>
          <w:szCs w:val="36"/>
        </w:rPr>
      </w:pPr>
      <m:oMathPara>
        <m:oMath>
          <m:r>
            <m:rPr/>
            <w:rPr>
              <w:rFonts w:ascii="Cambria Math" w:hAnsi="Cambria Math" w:eastAsia="仿宋_GB2312"/>
              <w:sz w:val="28"/>
              <w:szCs w:val="36"/>
            </w:rPr>
            <m:t>H=</m:t>
          </m:r>
          <m:sSub>
            <m:sSubPr>
              <m:ctrlPr>
                <w:rPr>
                  <w:rFonts w:ascii="Cambria Math" w:hAnsi="Cambria Math" w:eastAsia="仿宋_GB2312"/>
                  <w:i/>
                  <w:sz w:val="28"/>
                  <w:szCs w:val="36"/>
                </w:rPr>
              </m:ctrlPr>
            </m:sSubPr>
            <m:e>
              <m:r>
                <m:rPr/>
                <w:rPr>
                  <w:rFonts w:ascii="Cambria Math" w:hAnsi="Cambria Math" w:eastAsia="仿宋_GB2312"/>
                  <w:sz w:val="28"/>
                  <w:szCs w:val="36"/>
                </w:rPr>
                <m:t>H</m:t>
              </m:r>
              <m:ctrlPr>
                <w:rPr>
                  <w:rFonts w:ascii="Cambria Math" w:hAnsi="Cambria Math" w:eastAsia="仿宋_GB2312"/>
                  <w:i/>
                  <w:sz w:val="28"/>
                  <w:szCs w:val="36"/>
                </w:rPr>
              </m:ctrlPr>
            </m:e>
            <m:sub>
              <m:r>
                <m:rPr/>
                <w:rPr>
                  <w:rFonts w:ascii="Cambria Math" w:hAnsi="Cambria Math" w:eastAsia="仿宋_GB2312"/>
                  <w:sz w:val="28"/>
                  <w:szCs w:val="36"/>
                </w:rPr>
                <m:t>10</m:t>
              </m:r>
              <m:ctrlPr>
                <w:rPr>
                  <w:rFonts w:ascii="Cambria Math" w:hAnsi="Cambria Math" w:eastAsia="仿宋_GB2312"/>
                  <w:i/>
                  <w:sz w:val="28"/>
                  <w:szCs w:val="36"/>
                </w:rPr>
              </m:ctrlPr>
            </m:sub>
          </m:sSub>
          <m:r>
            <m:rPr/>
            <w:rPr>
              <w:rFonts w:ascii="Cambria Math" w:hAnsi="Cambria Math" w:eastAsia="仿宋_GB2312"/>
              <w:sz w:val="28"/>
              <w:szCs w:val="36"/>
            </w:rPr>
            <m:t>×</m:t>
          </m:r>
          <m:rad>
            <m:radPr>
              <m:degHide m:val="1"/>
              <m:ctrlPr>
                <w:rPr>
                  <w:rFonts w:ascii="Cambria Math" w:hAnsi="Cambria Math" w:eastAsia="仿宋_GB2312"/>
                  <w:i/>
                  <w:sz w:val="28"/>
                  <w:szCs w:val="36"/>
                </w:rPr>
              </m:ctrlPr>
            </m:radPr>
            <m:deg>
              <m:ctrlPr>
                <w:rPr>
                  <w:rFonts w:ascii="Cambria Math" w:hAnsi="Cambria Math" w:eastAsia="仿宋_GB2312"/>
                  <w:i/>
                  <w:sz w:val="28"/>
                  <w:szCs w:val="36"/>
                </w:rPr>
              </m:ctrlPr>
            </m:deg>
            <m:e>
              <m:f>
                <m:fPr>
                  <m:ctrlPr>
                    <w:rPr>
                      <w:rFonts w:ascii="Cambria Math" w:hAnsi="Cambria Math" w:eastAsia="仿宋_GB2312"/>
                      <w:i/>
                      <w:sz w:val="28"/>
                      <w:szCs w:val="36"/>
                    </w:rPr>
                  </m:ctrlPr>
                </m:fPr>
                <m:num>
                  <m:sSub>
                    <m:sSubPr>
                      <m:ctrlPr>
                        <w:rPr>
                          <w:rFonts w:ascii="Cambria Math" w:hAnsi="Cambria Math" w:eastAsia="仿宋_GB2312"/>
                          <w:i/>
                          <w:sz w:val="28"/>
                          <w:szCs w:val="36"/>
                        </w:rPr>
                      </m:ctrlPr>
                    </m:sSubPr>
                    <m:e>
                      <m:r>
                        <m:rPr/>
                        <w:rPr>
                          <w:rFonts w:ascii="Cambria Math" w:hAnsi="Cambria Math" w:eastAsia="仿宋_GB2312"/>
                          <w:sz w:val="28"/>
                          <w:szCs w:val="36"/>
                        </w:rPr>
                        <m:t>N</m:t>
                      </m:r>
                      <m:ctrlPr>
                        <w:rPr>
                          <w:rFonts w:ascii="Cambria Math" w:hAnsi="Cambria Math" w:eastAsia="仿宋_GB2312"/>
                          <w:i/>
                          <w:sz w:val="28"/>
                          <w:szCs w:val="36"/>
                        </w:rPr>
                      </m:ctrlPr>
                    </m:e>
                    <m:sub>
                      <m:r>
                        <m:rPr/>
                        <w:rPr>
                          <w:rFonts w:ascii="Cambria Math" w:hAnsi="Cambria Math" w:eastAsia="仿宋_GB2312"/>
                          <w:sz w:val="28"/>
                          <w:szCs w:val="36"/>
                        </w:rPr>
                        <m:t>R</m:t>
                      </m:r>
                      <m:ctrlPr>
                        <w:rPr>
                          <w:rFonts w:ascii="Cambria Math" w:hAnsi="Cambria Math" w:eastAsia="仿宋_GB2312"/>
                          <w:i/>
                          <w:sz w:val="28"/>
                          <w:szCs w:val="36"/>
                        </w:rPr>
                      </m:ctrlPr>
                    </m:sub>
                  </m:sSub>
                  <m:r>
                    <m:rPr/>
                    <w:rPr>
                      <w:rFonts w:ascii="Cambria Math" w:hAnsi="Cambria Math" w:eastAsia="仿宋_GB2312"/>
                      <w:sz w:val="28"/>
                      <w:szCs w:val="36"/>
                    </w:rPr>
                    <m:t>+(</m:t>
                  </m:r>
                  <m:sSub>
                    <m:sSubPr>
                      <m:ctrlPr>
                        <w:rPr>
                          <w:rFonts w:ascii="Cambria Math" w:hAnsi="Cambria Math" w:eastAsia="仿宋_GB2312"/>
                          <w:i/>
                          <w:sz w:val="28"/>
                          <w:szCs w:val="36"/>
                        </w:rPr>
                      </m:ctrlPr>
                    </m:sSubPr>
                    <m:e>
                      <m:r>
                        <m:rPr/>
                        <w:rPr>
                          <w:rFonts w:ascii="Cambria Math" w:hAnsi="Cambria Math" w:eastAsia="仿宋_GB2312"/>
                          <w:sz w:val="28"/>
                          <w:szCs w:val="36"/>
                        </w:rPr>
                        <m:t>T</m:t>
                      </m:r>
                      <m:ctrlPr>
                        <w:rPr>
                          <w:rFonts w:ascii="Cambria Math" w:hAnsi="Cambria Math" w:eastAsia="仿宋_GB2312"/>
                          <w:i/>
                          <w:sz w:val="28"/>
                          <w:szCs w:val="36"/>
                        </w:rPr>
                      </m:ctrlPr>
                    </m:e>
                    <m:sub>
                      <m:r>
                        <m:rPr/>
                        <w:rPr>
                          <w:rFonts w:ascii="Cambria Math" w:hAnsi="Cambria Math" w:eastAsia="仿宋_GB2312"/>
                          <w:sz w:val="28"/>
                          <w:szCs w:val="36"/>
                        </w:rPr>
                        <m:t>M</m:t>
                      </m:r>
                      <m:ctrlPr>
                        <w:rPr>
                          <w:rFonts w:ascii="Cambria Math" w:hAnsi="Cambria Math" w:eastAsia="仿宋_GB2312"/>
                          <w:i/>
                          <w:sz w:val="28"/>
                          <w:szCs w:val="36"/>
                        </w:rPr>
                      </m:ctrlPr>
                    </m:sub>
                  </m:sSub>
                  <m:r>
                    <m:rPr/>
                    <w:rPr>
                      <w:rFonts w:ascii="Cambria Math" w:hAnsi="Cambria Math" w:eastAsia="仿宋_GB2312"/>
                      <w:sz w:val="28"/>
                      <w:szCs w:val="36"/>
                    </w:rPr>
                    <m:t>−1)</m:t>
                  </m:r>
                  <m:ctrlPr>
                    <w:rPr>
                      <w:rFonts w:ascii="Cambria Math" w:hAnsi="Cambria Math" w:eastAsia="仿宋_GB2312"/>
                      <w:i/>
                      <w:sz w:val="28"/>
                      <w:szCs w:val="36"/>
                    </w:rPr>
                  </m:ctrlPr>
                </m:num>
                <m:den>
                  <m:r>
                    <m:rPr/>
                    <w:rPr>
                      <w:rFonts w:ascii="Cambria Math" w:hAnsi="Cambria Math" w:eastAsia="仿宋_GB2312"/>
                      <w:sz w:val="28"/>
                      <w:szCs w:val="36"/>
                    </w:rPr>
                    <m:t>10</m:t>
                  </m:r>
                  <m:ctrlPr>
                    <w:rPr>
                      <w:rFonts w:ascii="Cambria Math" w:hAnsi="Cambria Math" w:eastAsia="仿宋_GB2312"/>
                      <w:i/>
                      <w:sz w:val="28"/>
                      <w:szCs w:val="36"/>
                    </w:rPr>
                  </m:ctrlPr>
                </m:den>
              </m:f>
              <m:ctrlPr>
                <w:rPr>
                  <w:rFonts w:ascii="Cambria Math" w:hAnsi="Cambria Math" w:eastAsia="仿宋_GB2312"/>
                  <w:i/>
                  <w:sz w:val="28"/>
                  <w:szCs w:val="36"/>
                </w:rPr>
              </m:ctrlPr>
            </m:e>
          </m:rad>
        </m:oMath>
      </m:oMathPara>
    </w:p>
    <w:p>
      <w:pPr>
        <w:spacing w:line="480" w:lineRule="exact"/>
        <w:ind w:left="76" w:leftChars="36"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w:p>
    <w:p>
      <w:pPr>
        <w:spacing w:line="480" w:lineRule="exact"/>
        <w:ind w:left="76" w:leftChars="36" w:firstLine="560" w:firstLineChars="200"/>
        <w:rPr>
          <w:rFonts w:ascii="仿宋_GB2312" w:hAnsi="仿宋" w:eastAsia="仿宋_GB2312" w:cs="仿宋"/>
          <w:sz w:val="30"/>
          <w:szCs w:val="30"/>
        </w:rPr>
      </w:pPr>
      <m:oMath>
        <m:r>
          <m:rPr/>
          <w:rPr>
            <w:rFonts w:ascii="Cambria Math" w:hAnsi="Cambria Math" w:eastAsia="仿宋_GB2312"/>
            <w:sz w:val="28"/>
            <w:szCs w:val="36"/>
          </w:rPr>
          <m:t>H</m:t>
        </m:r>
      </m:oMath>
      <w:r>
        <w:rPr>
          <w:rFonts w:hint="eastAsia" w:ascii="仿宋_GB2312" w:hAnsi="仿宋" w:eastAsia="仿宋_GB2312" w:cs="仿宋"/>
          <w:sz w:val="30"/>
          <w:szCs w:val="30"/>
        </w:rPr>
        <w:t>为折扣系数；</w:t>
      </w:r>
    </w:p>
    <w:p>
      <w:pPr>
        <w:spacing w:line="480" w:lineRule="exact"/>
        <w:ind w:left="76" w:leftChars="36" w:firstLine="560" w:firstLineChars="200"/>
        <w:rPr>
          <w:rFonts w:ascii="仿宋_GB2312" w:hAnsi="仿宋" w:eastAsia="仿宋_GB2312" w:cs="仿宋"/>
          <w:sz w:val="30"/>
          <w:szCs w:val="30"/>
        </w:rPr>
      </w:pPr>
      <m:oMath>
        <m:sSub>
          <m:sSubPr>
            <m:ctrlPr>
              <w:rPr>
                <w:rFonts w:ascii="Cambria Math" w:hAnsi="Cambria Math" w:eastAsia="仿宋_GB2312"/>
                <w:i/>
                <w:sz w:val="28"/>
                <w:szCs w:val="36"/>
              </w:rPr>
            </m:ctrlPr>
          </m:sSubPr>
          <m:e>
            <m:r>
              <m:rPr/>
              <w:rPr>
                <w:rFonts w:ascii="Cambria Math" w:hAnsi="Cambria Math" w:eastAsia="仿宋_GB2312"/>
                <w:sz w:val="28"/>
                <w:szCs w:val="36"/>
              </w:rPr>
              <m:t>H</m:t>
            </m:r>
            <m:ctrlPr>
              <w:rPr>
                <w:rFonts w:ascii="Cambria Math" w:hAnsi="Cambria Math" w:eastAsia="仿宋_GB2312"/>
                <w:i/>
                <w:sz w:val="28"/>
                <w:szCs w:val="36"/>
              </w:rPr>
            </m:ctrlPr>
          </m:e>
          <m:sub>
            <m:r>
              <m:rPr/>
              <w:rPr>
                <w:rFonts w:ascii="Cambria Math" w:hAnsi="Cambria Math" w:eastAsia="仿宋_GB2312"/>
                <w:sz w:val="28"/>
                <w:szCs w:val="36"/>
              </w:rPr>
              <m:t>10</m:t>
            </m:r>
            <m:ctrlPr>
              <w:rPr>
                <w:rFonts w:ascii="Cambria Math" w:hAnsi="Cambria Math" w:eastAsia="仿宋_GB2312"/>
                <w:i/>
                <w:sz w:val="28"/>
                <w:szCs w:val="36"/>
              </w:rPr>
            </m:ctrlPr>
          </m:sub>
        </m:sSub>
      </m:oMath>
      <w:r>
        <w:rPr>
          <w:rFonts w:hint="eastAsia" w:ascii="仿宋_GB2312" w:hAnsi="仿宋" w:eastAsia="仿宋_GB2312" w:cs="仿宋"/>
          <w:sz w:val="30"/>
          <w:szCs w:val="30"/>
        </w:rPr>
        <w:t>为最低持有期为10天的标准折扣系数；</w:t>
      </w:r>
    </w:p>
    <w:p>
      <w:pPr>
        <w:spacing w:line="480" w:lineRule="exact"/>
        <w:ind w:left="76" w:leftChars="36" w:firstLine="560" w:firstLineChars="200"/>
        <w:rPr>
          <w:rFonts w:ascii="仿宋_GB2312" w:hAnsi="仿宋" w:eastAsia="仿宋_GB2312" w:cs="仿宋"/>
          <w:sz w:val="30"/>
          <w:szCs w:val="30"/>
        </w:rPr>
      </w:pPr>
      <m:oMath>
        <m:sSub>
          <m:sSubPr>
            <m:ctrlPr>
              <w:rPr>
                <w:rFonts w:ascii="Cambria Math" w:hAnsi="Cambria Math" w:eastAsia="仿宋_GB2312"/>
                <w:i/>
                <w:sz w:val="28"/>
                <w:szCs w:val="36"/>
              </w:rPr>
            </m:ctrlPr>
          </m:sSubPr>
          <m:e>
            <m:r>
              <m:rPr/>
              <w:rPr>
                <w:rFonts w:ascii="Cambria Math" w:hAnsi="Cambria Math" w:eastAsia="仿宋_GB2312"/>
                <w:sz w:val="28"/>
                <w:szCs w:val="36"/>
              </w:rPr>
              <m:t>N</m:t>
            </m:r>
            <m:ctrlPr>
              <w:rPr>
                <w:rFonts w:ascii="Cambria Math" w:hAnsi="Cambria Math" w:eastAsia="仿宋_GB2312"/>
                <w:i/>
                <w:sz w:val="28"/>
                <w:szCs w:val="36"/>
              </w:rPr>
            </m:ctrlPr>
          </m:e>
          <m:sub>
            <m:r>
              <m:rPr/>
              <w:rPr>
                <w:rFonts w:ascii="Cambria Math" w:hAnsi="Cambria Math" w:eastAsia="仿宋_GB2312"/>
                <w:sz w:val="28"/>
                <w:szCs w:val="36"/>
              </w:rPr>
              <m:t>R</m:t>
            </m:r>
            <m:ctrlPr>
              <w:rPr>
                <w:rFonts w:ascii="Cambria Math" w:hAnsi="Cambria Math" w:eastAsia="仿宋_GB2312"/>
                <w:i/>
                <w:sz w:val="28"/>
                <w:szCs w:val="36"/>
              </w:rPr>
            </m:ctrlPr>
          </m:sub>
        </m:sSub>
      </m:oMath>
      <w:r>
        <w:rPr>
          <w:rFonts w:hint="eastAsia" w:ascii="仿宋_GB2312" w:hAnsi="仿宋" w:eastAsia="仿宋_GB2312" w:cs="仿宋"/>
          <w:sz w:val="30"/>
          <w:szCs w:val="30"/>
        </w:rPr>
        <w:t>为对资本市场交易保证金调整或对抵押贷款重新估值的实际间隔交易天数；</w:t>
      </w:r>
    </w:p>
    <w:p>
      <w:pPr>
        <w:spacing w:line="480" w:lineRule="exact"/>
        <w:ind w:left="76" w:leftChars="36" w:firstLine="560" w:firstLineChars="200"/>
        <w:rPr>
          <w:rFonts w:ascii="仿宋_GB2312" w:hAnsi="仿宋" w:eastAsia="仿宋_GB2312" w:cs="仿宋"/>
          <w:sz w:val="30"/>
          <w:szCs w:val="30"/>
        </w:rPr>
      </w:pPr>
      <m:oMath>
        <m:sSub>
          <m:sSubPr>
            <m:ctrlPr>
              <w:rPr>
                <w:rFonts w:ascii="Cambria Math" w:hAnsi="Cambria Math" w:eastAsia="仿宋_GB2312"/>
                <w:i/>
                <w:sz w:val="28"/>
                <w:szCs w:val="36"/>
              </w:rPr>
            </m:ctrlPr>
          </m:sSubPr>
          <m:e>
            <m:r>
              <m:rPr/>
              <w:rPr>
                <w:rFonts w:ascii="Cambria Math" w:hAnsi="Cambria Math" w:eastAsia="仿宋_GB2312"/>
                <w:sz w:val="28"/>
                <w:szCs w:val="36"/>
              </w:rPr>
              <m:t>T</m:t>
            </m:r>
            <m:ctrlPr>
              <w:rPr>
                <w:rFonts w:ascii="Cambria Math" w:hAnsi="Cambria Math" w:eastAsia="仿宋_GB2312"/>
                <w:i/>
                <w:sz w:val="28"/>
                <w:szCs w:val="36"/>
              </w:rPr>
            </m:ctrlPr>
          </m:e>
          <m:sub>
            <m:r>
              <m:rPr/>
              <w:rPr>
                <w:rFonts w:ascii="Cambria Math" w:hAnsi="Cambria Math" w:eastAsia="仿宋_GB2312"/>
                <w:sz w:val="28"/>
                <w:szCs w:val="36"/>
              </w:rPr>
              <m:t>M</m:t>
            </m:r>
            <m:ctrlPr>
              <w:rPr>
                <w:rFonts w:ascii="Cambria Math" w:hAnsi="Cambria Math" w:eastAsia="仿宋_GB2312"/>
                <w:i/>
                <w:sz w:val="28"/>
                <w:szCs w:val="36"/>
              </w:rPr>
            </m:ctrlPr>
          </m:sub>
        </m:sSub>
      </m:oMath>
      <w:r>
        <w:rPr>
          <w:rFonts w:hint="eastAsia" w:ascii="仿宋_GB2312" w:hAnsi="仿宋" w:eastAsia="仿宋_GB2312" w:cs="仿宋"/>
          <w:sz w:val="30"/>
          <w:szCs w:val="30"/>
        </w:rPr>
        <w:t>为该交易的最低持有期。</w:t>
      </w:r>
    </w:p>
    <w:p>
      <w:pPr>
        <w:spacing w:line="480" w:lineRule="exact"/>
        <w:ind w:firstLine="600" w:firstLineChars="200"/>
        <w:rPr>
          <w:rFonts w:ascii="楷体" w:hAnsi="楷体" w:eastAsia="楷体" w:cs="楷体"/>
          <w:sz w:val="30"/>
          <w:szCs w:val="30"/>
        </w:rPr>
      </w:pPr>
      <w:r>
        <w:rPr>
          <w:rFonts w:hint="eastAsia" w:ascii="楷体" w:hAnsi="楷体" w:eastAsia="楷体" w:cs="楷体"/>
          <w:sz w:val="30"/>
          <w:szCs w:val="30"/>
        </w:rPr>
        <w:t>（三）特定交易的最低持有期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1.对于同时包含回购类和其他资本市场交易的净额结算交易，商业银行应使用10个交易日的最低持有期。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2.满足以下条件的交易应使用规定的最低持有期。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（1）若在一个季度内的任意时点，净额结算组合的交易量均超过5000笔，商业银行应在下一个季度使用20个交易日作为最低持有期。</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（2）若净额结算组合中包含一个或多个缺乏流动性的质押品，商业银行应使用20个交易日作为最低持有期。缺乏流动性的质押品是指在压力环境下，在两个或更短的交易日内没有连续的活跃市场报价的质押品。</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对于具有争议的净额结算组合，最低持有期应是保证金期限的2倍。具有争议的净额结算组合是指商业银行与该净额结算组合内的交易对手，在过去6个月内发生2次以上因追加保证金引发的争议，且在规定的保证金期限内未能解决。</w:t>
      </w:r>
    </w:p>
    <w:p>
      <w:pPr>
        <w:spacing w:line="480" w:lineRule="exact"/>
        <w:ind w:firstLine="600" w:firstLineChars="200"/>
        <w:rPr>
          <w:rFonts w:ascii="楷体" w:hAnsi="楷体" w:eastAsia="楷体" w:cs="楷体"/>
          <w:sz w:val="30"/>
          <w:szCs w:val="30"/>
        </w:rPr>
      </w:pPr>
      <w:r>
        <w:rPr>
          <w:rFonts w:hint="eastAsia" w:ascii="楷体" w:hAnsi="楷体" w:eastAsia="楷体" w:cs="楷体"/>
          <w:sz w:val="30"/>
          <w:szCs w:val="30"/>
        </w:rPr>
        <w:t>（四）折扣系数为零的条件</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w:t>
      </w:r>
      <w:r>
        <w:rPr>
          <w:rFonts w:hint="eastAsia" w:ascii="仿宋_GB2312" w:hAnsi="仿宋" w:eastAsia="仿宋_GB2312" w:cs="仿宋"/>
          <w:sz w:val="30"/>
          <w:szCs w:val="30"/>
          <w:lang w:eastAsia="zh-CN"/>
        </w:rPr>
        <w:t>同时</w:t>
      </w:r>
      <w:r>
        <w:rPr>
          <w:rFonts w:hint="eastAsia" w:ascii="仿宋_GB2312" w:hAnsi="仿宋" w:eastAsia="仿宋_GB2312" w:cs="仿宋"/>
          <w:sz w:val="30"/>
          <w:szCs w:val="30"/>
        </w:rPr>
        <w:t>满足本办法附件3第六部分（</w:t>
      </w:r>
      <w:r>
        <w:rPr>
          <w:rFonts w:hint="eastAsia" w:ascii="仿宋_GB2312" w:hAnsi="仿宋" w:eastAsia="仿宋_GB2312" w:cs="仿宋"/>
          <w:sz w:val="30"/>
          <w:szCs w:val="30"/>
          <w:lang w:eastAsia="zh-CN"/>
        </w:rPr>
        <w:t>一</w:t>
      </w:r>
      <w:r>
        <w:rPr>
          <w:rFonts w:hint="eastAsia" w:ascii="仿宋_GB2312" w:hAnsi="仿宋" w:eastAsia="仿宋_GB2312" w:cs="仿宋"/>
          <w:sz w:val="30"/>
          <w:szCs w:val="30"/>
        </w:rPr>
        <w:t>）、（</w:t>
      </w:r>
      <w:r>
        <w:rPr>
          <w:rFonts w:hint="eastAsia" w:ascii="仿宋_GB2312" w:hAnsi="仿宋" w:eastAsia="仿宋_GB2312" w:cs="仿宋"/>
          <w:sz w:val="30"/>
          <w:szCs w:val="30"/>
          <w:lang w:eastAsia="zh-CN"/>
        </w:rPr>
        <w:t>二</w:t>
      </w:r>
      <w:r>
        <w:rPr>
          <w:rFonts w:hint="eastAsia" w:ascii="仿宋_GB2312" w:hAnsi="仿宋" w:eastAsia="仿宋_GB2312" w:cs="仿宋"/>
          <w:sz w:val="30"/>
          <w:szCs w:val="30"/>
        </w:rPr>
        <w:t>）要求的回购交易，对应的折扣系数为0%；</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2.对于净额结算组合，如果包含任何不满足本办法附件3第六部分（</w:t>
      </w:r>
      <w:r>
        <w:rPr>
          <w:rFonts w:hint="eastAsia" w:ascii="仿宋_GB2312" w:hAnsi="仿宋" w:eastAsia="仿宋_GB2312" w:cs="仿宋"/>
          <w:sz w:val="30"/>
          <w:szCs w:val="30"/>
          <w:lang w:eastAsia="zh-CN"/>
        </w:rPr>
        <w:t>一</w:t>
      </w:r>
      <w:r>
        <w:rPr>
          <w:rFonts w:hint="eastAsia" w:ascii="仿宋_GB2312" w:hAnsi="仿宋" w:eastAsia="仿宋_GB2312" w:cs="仿宋"/>
          <w:sz w:val="30"/>
          <w:szCs w:val="30"/>
        </w:rPr>
        <w:t>）条件的回购交易，均不适用折扣系数为0%的规定。</w:t>
      </w:r>
    </w:p>
    <w:p>
      <w:pPr>
        <w:pStyle w:val="3"/>
      </w:pPr>
      <w:r>
        <w:rPr>
          <w:rFonts w:hint="eastAsia"/>
        </w:rPr>
        <w:t>八、证券融资交易的最低折扣系数底线</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（一）商业银行与特定交易对手开展的特定非集中清算的证券融资交易，应满足本部分的折扣系数底线要求。</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（二）折扣系数底线适用于以下交易：</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1.质押品为除国债以外的证券，并且交易对手为非银行类金融机构的回购交易；</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2.交易对手为非银行类金融机构的担保升级交易。担保升级交易是指商业银行借出高质量证券给交易对手，交易对手以低质量证券作质押。折扣系数底线应按照本部分（</w:t>
      </w:r>
      <w:r>
        <w:rPr>
          <w:rFonts w:hint="eastAsia" w:ascii="仿宋_GB2312" w:hAnsi="仿宋" w:eastAsia="仿宋_GB2312" w:cs="仿宋"/>
          <w:sz w:val="30"/>
          <w:szCs w:val="30"/>
          <w:lang w:eastAsia="zh-CN"/>
        </w:rPr>
        <w:t>八</w:t>
      </w:r>
      <w:bookmarkStart w:id="0" w:name="_GoBack"/>
      <w:bookmarkEnd w:id="0"/>
      <w:r>
        <w:rPr>
          <w:rFonts w:hint="eastAsia" w:ascii="仿宋_GB2312" w:hAnsi="仿宋" w:eastAsia="仿宋_GB2312" w:cs="仿宋"/>
          <w:sz w:val="30"/>
          <w:szCs w:val="30"/>
        </w:rPr>
        <w:t>）所列的公式计算。</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（三）交易对手为中国人民银行的证券融资交易不受折扣系数底线的限制。</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（四）商业银行借出现金，同时收到交易对手提交的债券的回购交易中，如果交易对手在相同或更短期限内再投资或运用现金，则商业银行不受折扣系数底线的限制。</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（五）担保升级交易中，如果交易对手无法使用收到的证券，或向商业银行提供当前及将来都不会重新使用的证明，则商业银行不受折扣系数底线的限制。</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（六）上述证券融资交易的折扣系数底线（%）：</w:t>
      </w:r>
    </w:p>
    <w:p>
      <w:pPr>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表6 证券融资交易的折扣系数底线</w:t>
      </w:r>
    </w:p>
    <w:tbl>
      <w:tblPr>
        <w:tblStyle w:val="14"/>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00"/>
        <w:gridCol w:w="257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Merge w:val="restart"/>
            <w:vAlign w:val="center"/>
          </w:tcPr>
          <w:p>
            <w:pPr>
              <w:jc w:val="center"/>
              <w:textAlignment w:val="center"/>
              <w:rPr>
                <w:rFonts w:asciiTheme="minorEastAsia" w:hAnsiTheme="minorEastAsia" w:cstheme="minorEastAsia"/>
                <w:bCs/>
                <w:sz w:val="24"/>
              </w:rPr>
            </w:pPr>
            <w:r>
              <w:rPr>
                <w:rFonts w:hint="eastAsia" w:asciiTheme="minorEastAsia" w:hAnsiTheme="minorEastAsia" w:cstheme="minorEastAsia"/>
                <w:bCs/>
                <w:sz w:val="24"/>
              </w:rPr>
              <w:t>金融质押品剩余期限</w:t>
            </w:r>
          </w:p>
        </w:tc>
        <w:tc>
          <w:tcPr>
            <w:tcW w:w="4591" w:type="dxa"/>
            <w:gridSpan w:val="2"/>
            <w:vAlign w:val="center"/>
          </w:tcPr>
          <w:p>
            <w:pPr>
              <w:widowControl/>
              <w:jc w:val="center"/>
              <w:textAlignment w:val="center"/>
              <w:rPr>
                <w:rFonts w:asciiTheme="minorEastAsia" w:hAnsiTheme="minorEastAsia" w:cstheme="minorEastAsia"/>
                <w:bCs/>
                <w:sz w:val="24"/>
              </w:rPr>
            </w:pPr>
            <w:r>
              <w:rPr>
                <w:rFonts w:hint="eastAsia" w:asciiTheme="minorEastAsia" w:hAnsiTheme="minorEastAsia" w:cstheme="minorEastAsia"/>
                <w:bCs/>
                <w:sz w:val="24"/>
              </w:rPr>
              <w:t>折扣系数底线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Merge w:val="continue"/>
            <w:vAlign w:val="center"/>
          </w:tcPr>
          <w:p>
            <w:pPr>
              <w:widowControl/>
              <w:ind w:firstLine="440"/>
              <w:jc w:val="center"/>
              <w:textAlignment w:val="center"/>
              <w:rPr>
                <w:rFonts w:asciiTheme="minorEastAsia" w:hAnsiTheme="minorEastAsia" w:cstheme="minorEastAsia"/>
                <w:bCs/>
                <w:sz w:val="24"/>
              </w:rPr>
            </w:pPr>
          </w:p>
        </w:tc>
        <w:tc>
          <w:tcPr>
            <w:tcW w:w="2570" w:type="dxa"/>
            <w:vAlign w:val="center"/>
          </w:tcPr>
          <w:p>
            <w:pPr>
              <w:widowControl/>
              <w:jc w:val="center"/>
              <w:textAlignment w:val="center"/>
              <w:rPr>
                <w:rFonts w:asciiTheme="minorEastAsia" w:hAnsiTheme="minorEastAsia" w:cstheme="minorEastAsia"/>
                <w:bCs/>
                <w:sz w:val="24"/>
              </w:rPr>
            </w:pPr>
            <w:r>
              <w:rPr>
                <w:rFonts w:hint="eastAsia" w:asciiTheme="minorEastAsia" w:hAnsiTheme="minorEastAsia" w:cstheme="minorEastAsia"/>
                <w:bCs/>
                <w:sz w:val="24"/>
              </w:rPr>
              <w:t>公司或其他发行主体</w:t>
            </w:r>
          </w:p>
        </w:tc>
        <w:tc>
          <w:tcPr>
            <w:tcW w:w="2021" w:type="dxa"/>
            <w:vAlign w:val="center"/>
          </w:tcPr>
          <w:p>
            <w:pPr>
              <w:widowControl/>
              <w:jc w:val="center"/>
              <w:textAlignment w:val="center"/>
              <w:rPr>
                <w:rFonts w:asciiTheme="minorEastAsia" w:hAnsiTheme="minorEastAsia" w:cstheme="minorEastAsia"/>
                <w:bCs/>
                <w:sz w:val="24"/>
              </w:rPr>
            </w:pPr>
            <w:r>
              <w:rPr>
                <w:rFonts w:hint="eastAsia" w:asciiTheme="minorEastAsia" w:hAnsiTheme="minorEastAsia" w:cstheme="minorEastAsia"/>
                <w:bCs/>
                <w:sz w:val="24"/>
              </w:rPr>
              <w:t>证券化产品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rPr>
              <w:t>≤</w:t>
            </w:r>
            <w:r>
              <w:rPr>
                <w:rFonts w:asciiTheme="minorEastAsia" w:hAnsiTheme="minorEastAsia" w:cstheme="minorEastAsia"/>
                <w:color w:val="000000"/>
                <w:kern w:val="0"/>
                <w:sz w:val="24"/>
              </w:rPr>
              <w:t>1</w:t>
            </w:r>
            <w:r>
              <w:rPr>
                <w:rFonts w:hint="eastAsia" w:asciiTheme="minorEastAsia" w:hAnsiTheme="minorEastAsia" w:cstheme="minorEastAsia"/>
                <w:sz w:val="24"/>
              </w:rPr>
              <w:t>年的债券，和浮动利率票据</w:t>
            </w:r>
          </w:p>
        </w:tc>
        <w:tc>
          <w:tcPr>
            <w:tcW w:w="2570" w:type="dxa"/>
            <w:vAlign w:val="center"/>
          </w:tcPr>
          <w:p>
            <w:pPr>
              <w:jc w:val="center"/>
              <w:rPr>
                <w:rFonts w:asciiTheme="minorEastAsia" w:hAnsiTheme="minorEastAsia" w:cstheme="minorEastAsia"/>
                <w:sz w:val="24"/>
              </w:rPr>
            </w:pPr>
            <w:r>
              <w:rPr>
                <w:rFonts w:asciiTheme="minorEastAsia" w:hAnsiTheme="minorEastAsia" w:cstheme="minorEastAsia"/>
                <w:sz w:val="24"/>
              </w:rPr>
              <w:t>0.5</w:t>
            </w:r>
          </w:p>
        </w:tc>
        <w:tc>
          <w:tcPr>
            <w:tcW w:w="2021"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&gt;1年，≤5年的债券</w:t>
            </w:r>
          </w:p>
        </w:tc>
        <w:tc>
          <w:tcPr>
            <w:tcW w:w="2570" w:type="dxa"/>
            <w:vAlign w:val="center"/>
          </w:tcPr>
          <w:p>
            <w:pPr>
              <w:jc w:val="center"/>
              <w:rPr>
                <w:rFonts w:asciiTheme="minorEastAsia" w:hAnsiTheme="minorEastAsia" w:cstheme="minorEastAsia"/>
                <w:sz w:val="24"/>
              </w:rPr>
            </w:pPr>
            <w:r>
              <w:rPr>
                <w:rFonts w:asciiTheme="minorEastAsia" w:hAnsiTheme="minorEastAsia" w:cstheme="minorEastAsia"/>
                <w:sz w:val="24"/>
              </w:rPr>
              <w:t>1.5</w:t>
            </w:r>
          </w:p>
        </w:tc>
        <w:tc>
          <w:tcPr>
            <w:tcW w:w="2021"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&gt;5年，≤10年的债券</w:t>
            </w:r>
          </w:p>
        </w:tc>
        <w:tc>
          <w:tcPr>
            <w:tcW w:w="2570" w:type="dxa"/>
            <w:vAlign w:val="center"/>
          </w:tcPr>
          <w:p>
            <w:pPr>
              <w:jc w:val="center"/>
              <w:rPr>
                <w:rFonts w:asciiTheme="minorEastAsia" w:hAnsiTheme="minorEastAsia" w:cstheme="minorEastAsia"/>
                <w:sz w:val="24"/>
              </w:rPr>
            </w:pPr>
            <w:r>
              <w:rPr>
                <w:rFonts w:asciiTheme="minorEastAsia" w:hAnsiTheme="minorEastAsia" w:cstheme="minorEastAsia"/>
                <w:sz w:val="24"/>
              </w:rPr>
              <w:t>3</w:t>
            </w:r>
          </w:p>
        </w:tc>
        <w:tc>
          <w:tcPr>
            <w:tcW w:w="2021"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&gt;10年的债券</w:t>
            </w:r>
          </w:p>
        </w:tc>
        <w:tc>
          <w:tcPr>
            <w:tcW w:w="2570" w:type="dxa"/>
            <w:vAlign w:val="center"/>
          </w:tcPr>
          <w:p>
            <w:pPr>
              <w:jc w:val="center"/>
              <w:rPr>
                <w:rFonts w:asciiTheme="minorEastAsia" w:hAnsiTheme="minorEastAsia" w:cstheme="minorEastAsia"/>
                <w:sz w:val="24"/>
              </w:rPr>
            </w:pPr>
            <w:r>
              <w:rPr>
                <w:rFonts w:asciiTheme="minorEastAsia" w:hAnsiTheme="minorEastAsia" w:cstheme="minorEastAsia"/>
                <w:sz w:val="24"/>
              </w:rPr>
              <w:t>4</w:t>
            </w:r>
          </w:p>
        </w:tc>
        <w:tc>
          <w:tcPr>
            <w:tcW w:w="2021" w:type="dxa"/>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sz w:val="24"/>
              </w:rPr>
              <w:t>纳入主要市场指数的股票</w:t>
            </w:r>
          </w:p>
        </w:tc>
        <w:tc>
          <w:tcPr>
            <w:tcW w:w="4591" w:type="dxa"/>
            <w:gridSpan w:val="2"/>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0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sz w:val="24"/>
              </w:rPr>
              <w:t>其他金融质押品</w:t>
            </w:r>
          </w:p>
        </w:tc>
        <w:tc>
          <w:tcPr>
            <w:tcW w:w="4591" w:type="dxa"/>
            <w:gridSpan w:val="2"/>
            <w:vAlign w:val="center"/>
          </w:tcPr>
          <w:p>
            <w:pPr>
              <w:widowControl/>
              <w:jc w:val="center"/>
              <w:textAlignment w:val="center"/>
              <w:rPr>
                <w:rFonts w:asciiTheme="minorEastAsia" w:hAnsiTheme="minorEastAsia" w:cstheme="minorEastAsia"/>
                <w:sz w:val="24"/>
              </w:rPr>
            </w:pPr>
            <w:r>
              <w:rPr>
                <w:rFonts w:asciiTheme="minorEastAsia" w:hAnsiTheme="minorEastAsia" w:cstheme="minorEastAsia"/>
                <w:sz w:val="24"/>
              </w:rPr>
              <w:t>10</w:t>
            </w:r>
          </w:p>
        </w:tc>
      </w:tr>
    </w:tbl>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（七）商业银行应比较上述证券融资交易的金融质押品的折扣系数</w:t>
      </w:r>
      <m:oMath>
        <m:r>
          <m:rPr/>
          <w:rPr>
            <w:rFonts w:ascii="Cambria Math" w:hAnsi="Cambria Math" w:eastAsia="仿宋_GB2312"/>
            <w:sz w:val="28"/>
            <w:szCs w:val="36"/>
          </w:rPr>
          <m:t>H</m:t>
        </m:r>
      </m:oMath>
      <w:r>
        <w:rPr>
          <w:rFonts w:hint="eastAsia" w:ascii="仿宋_GB2312" w:hAnsi="仿宋" w:eastAsia="仿宋_GB2312" w:cs="仿宋"/>
          <w:sz w:val="30"/>
          <w:szCs w:val="30"/>
        </w:rPr>
        <w:t>（真实的或按照下述规则计算的）和折扣系数底线</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（本部分（六）给定的或按照下述规则计算的）。若</w:t>
      </w:r>
      <m:oMath>
        <m:r>
          <m:rPr/>
          <w:rPr>
            <w:rFonts w:ascii="Cambria Math" w:hAnsi="Cambria Math" w:eastAsia="仿宋_GB2312"/>
            <w:sz w:val="28"/>
            <w:szCs w:val="36"/>
          </w:rPr>
          <m:t>H</m:t>
        </m:r>
      </m:oMath>
      <w:r>
        <w:rPr>
          <w:rFonts w:hint="eastAsia" w:ascii="仿宋_GB2312" w:hAnsi="仿宋" w:eastAsia="仿宋_GB2312" w:cs="仿宋"/>
          <w:sz w:val="30"/>
          <w:szCs w:val="30"/>
        </w:rPr>
        <w:t>低于</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，则该交易应按照对交易对手的无担保风险暴露处理，适用本部分（八）和（九）规则。</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（八）对于非净额结算的上述证券融资交易，折扣系数</w:t>
      </w:r>
      <m:oMath>
        <m:r>
          <m:rPr/>
          <w:rPr>
            <w:rFonts w:ascii="Cambria Math" w:hAnsi="Cambria Math" w:eastAsia="仿宋_GB2312"/>
            <w:sz w:val="28"/>
            <w:szCs w:val="36"/>
          </w:rPr>
          <m:t>H</m:t>
        </m:r>
      </m:oMath>
      <w:r>
        <w:rPr>
          <w:rFonts w:hint="eastAsia" w:ascii="仿宋_GB2312" w:hAnsi="仿宋" w:eastAsia="仿宋_GB2312" w:cs="仿宋"/>
          <w:sz w:val="30"/>
          <w:szCs w:val="30"/>
        </w:rPr>
        <w:t>和折扣系数底线</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应按以下规则计算：</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1.对于回购交易，</w:t>
      </w:r>
      <m:oMath>
        <m:r>
          <m:rPr/>
          <w:rPr>
            <w:rFonts w:ascii="Cambria Math" w:hAnsi="Cambria Math" w:eastAsia="仿宋_GB2312"/>
            <w:sz w:val="28"/>
            <w:szCs w:val="36"/>
          </w:rPr>
          <m:t>H</m:t>
        </m:r>
      </m:oMath>
      <w:r>
        <w:rPr>
          <w:rFonts w:hint="eastAsia" w:ascii="仿宋_GB2312" w:hAnsi="仿宋" w:eastAsia="仿宋_GB2312" w:cs="仿宋"/>
          <w:sz w:val="30"/>
          <w:szCs w:val="30"/>
        </w:rPr>
        <w:t>由金融质押品价值和融出的现金确定，</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由本部分（六）给定。</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2.对于证券借贷，商业银行借出证券A，收到证券B。</w:t>
      </w:r>
      <m:oMath>
        <m:r>
          <m:rPr/>
          <w:rPr>
            <w:rFonts w:ascii="Cambria Math" w:hAnsi="Cambria Math" w:eastAsia="仿宋_GB2312"/>
            <w:sz w:val="28"/>
            <w:szCs w:val="36"/>
          </w:rPr>
          <m:t>H</m:t>
        </m:r>
      </m:oMath>
      <w:r>
        <w:rPr>
          <w:rFonts w:hint="eastAsia" w:ascii="仿宋_GB2312" w:hAnsi="仿宋" w:eastAsia="仿宋_GB2312" w:cs="仿宋"/>
          <w:sz w:val="30"/>
          <w:szCs w:val="30"/>
        </w:rPr>
        <w:t>由收到的证券B的价值</w:t>
      </w:r>
      <m:oMath>
        <m:sSub>
          <m:sSubPr>
            <m:ctrlPr>
              <w:rPr>
                <w:rFonts w:ascii="DejaVu Math TeX Gyre" w:hAnsi="DejaVu Math TeX Gyre" w:eastAsia="仿宋_GB2312" w:cs="Cambria"/>
                <w:i/>
                <w:sz w:val="28"/>
                <w:szCs w:val="28"/>
              </w:rPr>
            </m:ctrlPr>
          </m:sSubPr>
          <m:e>
            <m:r>
              <m:rPr/>
              <w:rPr>
                <w:rFonts w:ascii="DejaVu Math TeX Gyre" w:hAnsi="DejaVu Math TeX Gyre" w:eastAsia="仿宋_GB2312" w:cs="Cambria"/>
                <w:sz w:val="28"/>
                <w:szCs w:val="28"/>
              </w:rPr>
              <m:t>C</m:t>
            </m:r>
            <m:ctrlPr>
              <w:rPr>
                <w:rFonts w:ascii="DejaVu Math TeX Gyre" w:hAnsi="DejaVu Math TeX Gyre" w:eastAsia="仿宋_GB2312" w:cs="Cambria"/>
                <w:i/>
                <w:sz w:val="28"/>
                <w:szCs w:val="28"/>
              </w:rPr>
            </m:ctrlPr>
          </m:e>
          <m:sub>
            <m:r>
              <m:rPr/>
              <w:rPr>
                <w:rFonts w:ascii="DejaVu Math TeX Gyre" w:hAnsi="DejaVu Math TeX Gyre" w:eastAsia="仿宋_GB2312" w:cs="Cambria"/>
                <w:sz w:val="28"/>
                <w:szCs w:val="28"/>
              </w:rPr>
              <m:t>B</m:t>
            </m:r>
            <m:ctrlPr>
              <w:rPr>
                <w:rFonts w:ascii="DejaVu Math TeX Gyre" w:hAnsi="DejaVu Math TeX Gyre" w:eastAsia="仿宋_GB2312" w:cs="Cambria"/>
                <w:i/>
                <w:sz w:val="28"/>
                <w:szCs w:val="28"/>
              </w:rPr>
            </m:ctrlPr>
          </m:sub>
        </m:sSub>
      </m:oMath>
      <w:r>
        <w:rPr>
          <w:rFonts w:hint="eastAsia" w:ascii="仿宋_GB2312" w:hAnsi="仿宋" w:eastAsia="仿宋_GB2312" w:cs="仿宋"/>
          <w:sz w:val="30"/>
          <w:szCs w:val="30"/>
        </w:rPr>
        <w:t>和借出的证券A的价值</w:t>
      </w:r>
      <m:oMath>
        <m:sSub>
          <m:sSubPr>
            <m:ctrlPr>
              <w:rPr>
                <w:rFonts w:ascii="DejaVu Math TeX Gyre" w:hAnsi="DejaVu Math TeX Gyre" w:eastAsia="仿宋_GB2312" w:cs="Cambria"/>
                <w:i/>
                <w:sz w:val="28"/>
                <w:szCs w:val="28"/>
              </w:rPr>
            </m:ctrlPr>
          </m:sSubPr>
          <m:e>
            <m:r>
              <m:rPr/>
              <w:rPr>
                <w:rFonts w:hint="eastAsia" w:ascii="DejaVu Math TeX Gyre" w:hAnsi="DejaVu Math TeX Gyre" w:eastAsia="仿宋_GB2312" w:cs="Cambria"/>
                <w:sz w:val="28"/>
                <w:szCs w:val="28"/>
              </w:rPr>
              <m:t>C</m:t>
            </m:r>
            <m:ctrlPr>
              <w:rPr>
                <w:rFonts w:ascii="DejaVu Math TeX Gyre" w:hAnsi="DejaVu Math TeX Gyre" w:eastAsia="仿宋_GB2312" w:cs="Cambria"/>
                <w:i/>
                <w:sz w:val="28"/>
                <w:szCs w:val="28"/>
              </w:rPr>
            </m:ctrlPr>
          </m:e>
          <m:sub>
            <m:r>
              <m:rPr/>
              <w:rPr>
                <w:rFonts w:hint="eastAsia" w:ascii="DejaVu Math TeX Gyre" w:hAnsi="DejaVu Math TeX Gyre" w:eastAsia="仿宋_GB2312" w:cs="Cambria"/>
                <w:sz w:val="28"/>
                <w:szCs w:val="28"/>
              </w:rPr>
              <m:t>A</m:t>
            </m:r>
            <m:ctrlPr>
              <w:rPr>
                <w:rFonts w:ascii="DejaVu Math TeX Gyre" w:hAnsi="DejaVu Math TeX Gyre" w:eastAsia="仿宋_GB2312" w:cs="Cambria"/>
                <w:i/>
                <w:sz w:val="28"/>
                <w:szCs w:val="28"/>
              </w:rPr>
            </m:ctrlPr>
          </m:sub>
        </m:sSub>
      </m:oMath>
      <w:r>
        <w:rPr>
          <w:rFonts w:hint="eastAsia" w:ascii="仿宋_GB2312" w:hAnsi="仿宋" w:eastAsia="仿宋_GB2312" w:cs="仿宋"/>
          <w:sz w:val="30"/>
          <w:szCs w:val="30"/>
        </w:rPr>
        <w:t>确定，</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由证券A和证券B的折扣底线综合确定。具体公式如下：</w:t>
      </w:r>
    </w:p>
    <w:p>
      <w:pPr>
        <w:spacing w:line="240" w:lineRule="atLeast"/>
        <w:ind w:firstLine="560" w:firstLineChars="200"/>
        <w:rPr>
          <w:rFonts w:ascii="仿宋_GB2312" w:hAnsi="Cambria" w:eastAsia="仿宋_GB2312" w:cs="Cambria"/>
          <w:i/>
          <w:sz w:val="28"/>
          <w:szCs w:val="28"/>
        </w:rPr>
      </w:pPr>
      <m:oMathPara>
        <m:oMathParaPr>
          <m:jc m:val="center"/>
        </m:oMathParaPr>
        <m:oMath>
          <m:r>
            <m:rPr/>
            <w:rPr>
              <w:rFonts w:ascii="DejaVu Math TeX Gyre" w:hAnsi="DejaVu Math TeX Gyre" w:eastAsia="仿宋_GB2312" w:cs="Cambria"/>
              <w:sz w:val="28"/>
              <w:szCs w:val="28"/>
            </w:rPr>
            <m:t>H=</m:t>
          </m:r>
          <m:f>
            <m:fPr>
              <m:ctrlPr>
                <w:rPr>
                  <w:rFonts w:ascii="DejaVu Math TeX Gyre" w:hAnsi="DejaVu Math TeX Gyre" w:eastAsia="仿宋_GB2312" w:cs="Cambria"/>
                  <w:i/>
                  <w:sz w:val="28"/>
                  <w:szCs w:val="28"/>
                </w:rPr>
              </m:ctrlPr>
            </m:fPr>
            <m:num>
              <m:sSub>
                <m:sSubPr>
                  <m:ctrlPr>
                    <w:rPr>
                      <w:rFonts w:ascii="DejaVu Math TeX Gyre" w:hAnsi="DejaVu Math TeX Gyre" w:eastAsia="仿宋_GB2312" w:cs="Cambria"/>
                      <w:i/>
                      <w:sz w:val="28"/>
                      <w:szCs w:val="28"/>
                    </w:rPr>
                  </m:ctrlPr>
                </m:sSubPr>
                <m:e>
                  <m:r>
                    <m:rPr/>
                    <w:rPr>
                      <w:rFonts w:ascii="DejaVu Math TeX Gyre" w:hAnsi="DejaVu Math TeX Gyre" w:eastAsia="仿宋_GB2312" w:cs="Cambria"/>
                      <w:sz w:val="28"/>
                      <w:szCs w:val="28"/>
                    </w:rPr>
                    <m:t>C</m:t>
                  </m:r>
                  <m:ctrlPr>
                    <w:rPr>
                      <w:rFonts w:ascii="DejaVu Math TeX Gyre" w:hAnsi="DejaVu Math TeX Gyre" w:eastAsia="仿宋_GB2312" w:cs="Cambria"/>
                      <w:i/>
                      <w:sz w:val="28"/>
                      <w:szCs w:val="28"/>
                    </w:rPr>
                  </m:ctrlPr>
                </m:e>
                <m:sub>
                  <m:r>
                    <m:rPr/>
                    <w:rPr>
                      <w:rFonts w:ascii="DejaVu Math TeX Gyre" w:hAnsi="DejaVu Math TeX Gyre" w:eastAsia="仿宋_GB2312" w:cs="Cambria"/>
                      <w:sz w:val="28"/>
                      <w:szCs w:val="28"/>
                    </w:rPr>
                    <m:t>B</m:t>
                  </m:r>
                  <m:ctrlPr>
                    <w:rPr>
                      <w:rFonts w:ascii="DejaVu Math TeX Gyre" w:hAnsi="DejaVu Math TeX Gyre" w:eastAsia="仿宋_GB2312" w:cs="Cambria"/>
                      <w:i/>
                      <w:sz w:val="28"/>
                      <w:szCs w:val="28"/>
                    </w:rPr>
                  </m:ctrlPr>
                </m:sub>
              </m:sSub>
              <m:ctrlPr>
                <w:rPr>
                  <w:rFonts w:ascii="DejaVu Math TeX Gyre" w:hAnsi="DejaVu Math TeX Gyre" w:eastAsia="仿宋_GB2312" w:cs="Cambria"/>
                  <w:i/>
                  <w:sz w:val="28"/>
                  <w:szCs w:val="28"/>
                </w:rPr>
              </m:ctrlPr>
            </m:num>
            <m:den>
              <m:sSub>
                <m:sSubPr>
                  <m:ctrlPr>
                    <w:rPr>
                      <w:rFonts w:ascii="DejaVu Math TeX Gyre" w:hAnsi="DejaVu Math TeX Gyre" w:eastAsia="仿宋_GB2312" w:cs="Cambria"/>
                      <w:i/>
                      <w:sz w:val="28"/>
                      <w:szCs w:val="28"/>
                    </w:rPr>
                  </m:ctrlPr>
                </m:sSubPr>
                <m:e>
                  <m:r>
                    <m:rPr/>
                    <w:rPr>
                      <w:rFonts w:ascii="DejaVu Math TeX Gyre" w:hAnsi="DejaVu Math TeX Gyre" w:eastAsia="仿宋_GB2312" w:cs="Cambria"/>
                      <w:sz w:val="28"/>
                      <w:szCs w:val="28"/>
                    </w:rPr>
                    <m:t>C</m:t>
                  </m:r>
                  <m:ctrlPr>
                    <w:rPr>
                      <w:rFonts w:ascii="DejaVu Math TeX Gyre" w:hAnsi="DejaVu Math TeX Gyre" w:eastAsia="仿宋_GB2312" w:cs="Cambria"/>
                      <w:i/>
                      <w:sz w:val="28"/>
                      <w:szCs w:val="28"/>
                    </w:rPr>
                  </m:ctrlPr>
                </m:e>
                <m:sub>
                  <m:r>
                    <m:rPr/>
                    <w:rPr>
                      <w:rFonts w:ascii="DejaVu Math TeX Gyre" w:hAnsi="DejaVu Math TeX Gyre" w:eastAsia="仿宋_GB2312" w:cs="Cambria"/>
                      <w:sz w:val="28"/>
                      <w:szCs w:val="28"/>
                    </w:rPr>
                    <m:t>A</m:t>
                  </m:r>
                  <m:ctrlPr>
                    <w:rPr>
                      <w:rFonts w:ascii="DejaVu Math TeX Gyre" w:hAnsi="DejaVu Math TeX Gyre" w:eastAsia="仿宋_GB2312" w:cs="Cambria"/>
                      <w:i/>
                      <w:sz w:val="28"/>
                      <w:szCs w:val="28"/>
                    </w:rPr>
                  </m:ctrlPr>
                </m:sub>
              </m:sSub>
              <m:ctrlPr>
                <w:rPr>
                  <w:rFonts w:ascii="DejaVu Math TeX Gyre" w:hAnsi="DejaVu Math TeX Gyre" w:eastAsia="仿宋_GB2312" w:cs="Cambria"/>
                  <w:i/>
                  <w:sz w:val="28"/>
                  <w:szCs w:val="28"/>
                </w:rPr>
              </m:ctrlPr>
            </m:den>
          </m:f>
          <m:r>
            <m:rPr/>
            <w:rPr>
              <w:rFonts w:ascii="DejaVu Math TeX Gyre" w:hAnsi="DejaVu Math TeX Gyre" w:eastAsia="MS Mincho" w:cs="MS Mincho"/>
              <w:sz w:val="28"/>
              <w:szCs w:val="28"/>
            </w:rPr>
            <m:t>−</m:t>
          </m:r>
          <m:r>
            <m:rPr/>
            <w:rPr>
              <w:rFonts w:ascii="DejaVu Math TeX Gyre" w:hAnsi="DejaVu Math TeX Gyre" w:eastAsia="仿宋_GB2312" w:cs="Cambria"/>
              <w:sz w:val="28"/>
              <w:szCs w:val="28"/>
            </w:rPr>
            <m:t>1</m:t>
          </m:r>
        </m:oMath>
      </m:oMathPara>
    </w:p>
    <w:p>
      <w:pPr>
        <w:jc w:val="center"/>
        <w:rPr>
          <w:rFonts w:ascii="仿宋_GB2312" w:hAnsi="Cambria Math" w:eastAsia="仿宋_GB2312" w:cs="仿宋"/>
          <w:i/>
          <w:iCs/>
          <w:sz w:val="28"/>
          <w:szCs w:val="28"/>
        </w:rPr>
      </w:pPr>
      <m:oMathPara>
        <m:oMath>
          <m:r>
            <m:rPr/>
            <w:rPr>
              <w:rFonts w:ascii="Cambria Math" w:hAnsi="Cambria Math" w:eastAsia="仿宋_GB2312" w:cs="仿宋"/>
              <w:sz w:val="28"/>
              <w:szCs w:val="28"/>
            </w:rPr>
            <m:t>f=</m:t>
          </m:r>
          <m:f>
            <m:fPr>
              <m:ctrlPr>
                <w:rPr>
                  <w:rFonts w:ascii="Cambria Math" w:hAnsi="Cambria Math" w:eastAsia="仿宋_GB2312" w:cs="仿宋"/>
                  <w:i/>
                  <w:iCs/>
                  <w:sz w:val="28"/>
                  <w:szCs w:val="28"/>
                </w:rPr>
              </m:ctrlPr>
            </m:fPr>
            <m:num>
              <m:r>
                <m:rPr/>
                <w:rPr>
                  <w:rFonts w:ascii="Cambria Math" w:hAnsi="Cambria Math" w:eastAsia="仿宋_GB2312" w:cs="仿宋"/>
                  <w:sz w:val="28"/>
                  <w:szCs w:val="28"/>
                </w:rPr>
                <m:t>1+</m:t>
              </m:r>
              <m:sSub>
                <m:sSubPr>
                  <m:ctrlPr>
                    <w:rPr>
                      <w:rFonts w:ascii="Cambria Math" w:hAnsi="Cambria Math" w:eastAsia="仿宋_GB2312" w:cs="仿宋"/>
                      <w:i/>
                      <w:iCs/>
                      <w:sz w:val="28"/>
                      <w:szCs w:val="28"/>
                    </w:rPr>
                  </m:ctrlPr>
                </m:sSubPr>
                <m:e>
                  <m:r>
                    <m:rPr/>
                    <w:rPr>
                      <w:rFonts w:ascii="Cambria Math" w:hAnsi="Cambria Math" w:eastAsia="仿宋_GB2312" w:cs="仿宋"/>
                      <w:sz w:val="28"/>
                      <w:szCs w:val="28"/>
                    </w:rPr>
                    <m:t>f</m:t>
                  </m:r>
                  <m:ctrlPr>
                    <w:rPr>
                      <w:rFonts w:ascii="Cambria Math" w:hAnsi="Cambria Math" w:eastAsia="仿宋_GB2312" w:cs="仿宋"/>
                      <w:i/>
                      <w:iCs/>
                      <w:sz w:val="28"/>
                      <w:szCs w:val="28"/>
                    </w:rPr>
                  </m:ctrlPr>
                </m:e>
                <m:sub>
                  <m:r>
                    <m:rPr/>
                    <w:rPr>
                      <w:rFonts w:ascii="Cambria Math" w:hAnsi="Cambria Math" w:eastAsia="仿宋_GB2312" w:cs="仿宋"/>
                      <w:sz w:val="28"/>
                      <w:szCs w:val="28"/>
                    </w:rPr>
                    <m:t>B</m:t>
                  </m:r>
                  <m:ctrlPr>
                    <w:rPr>
                      <w:rFonts w:ascii="Cambria Math" w:hAnsi="Cambria Math" w:eastAsia="仿宋_GB2312" w:cs="仿宋"/>
                      <w:i/>
                      <w:iCs/>
                      <w:sz w:val="28"/>
                      <w:szCs w:val="28"/>
                    </w:rPr>
                  </m:ctrlPr>
                </m:sub>
              </m:sSub>
              <m:ctrlPr>
                <w:rPr>
                  <w:rFonts w:ascii="Cambria Math" w:hAnsi="Cambria Math" w:eastAsia="仿宋_GB2312" w:cs="仿宋"/>
                  <w:i/>
                  <w:iCs/>
                  <w:sz w:val="28"/>
                  <w:szCs w:val="28"/>
                </w:rPr>
              </m:ctrlPr>
            </m:num>
            <m:den>
              <m:r>
                <m:rPr/>
                <w:rPr>
                  <w:rFonts w:ascii="Cambria Math" w:hAnsi="Cambria Math" w:eastAsia="仿宋_GB2312" w:cs="仿宋"/>
                  <w:sz w:val="28"/>
                  <w:szCs w:val="28"/>
                </w:rPr>
                <m:t>1+</m:t>
              </m:r>
              <m:sSub>
                <m:sSubPr>
                  <m:ctrlPr>
                    <w:rPr>
                      <w:rFonts w:ascii="Cambria Math" w:hAnsi="Cambria Math" w:eastAsia="仿宋_GB2312" w:cs="仿宋"/>
                      <w:i/>
                      <w:iCs/>
                      <w:sz w:val="28"/>
                      <w:szCs w:val="28"/>
                    </w:rPr>
                  </m:ctrlPr>
                </m:sSubPr>
                <m:e>
                  <m:r>
                    <m:rPr/>
                    <w:rPr>
                      <w:rFonts w:ascii="Cambria Math" w:hAnsi="Cambria Math" w:eastAsia="仿宋_GB2312" w:cs="仿宋"/>
                      <w:sz w:val="28"/>
                      <w:szCs w:val="28"/>
                    </w:rPr>
                    <m:t>f</m:t>
                  </m:r>
                  <m:ctrlPr>
                    <w:rPr>
                      <w:rFonts w:ascii="Cambria Math" w:hAnsi="Cambria Math" w:eastAsia="仿宋_GB2312" w:cs="仿宋"/>
                      <w:i/>
                      <w:iCs/>
                      <w:sz w:val="28"/>
                      <w:szCs w:val="28"/>
                    </w:rPr>
                  </m:ctrlPr>
                </m:e>
                <m:sub>
                  <m:r>
                    <m:rPr/>
                    <w:rPr>
                      <w:rFonts w:ascii="Cambria Math" w:hAnsi="Cambria Math" w:eastAsia="仿宋_GB2312" w:cs="仿宋"/>
                      <w:sz w:val="28"/>
                      <w:szCs w:val="28"/>
                    </w:rPr>
                    <m:t>A</m:t>
                  </m:r>
                  <m:ctrlPr>
                    <w:rPr>
                      <w:rFonts w:ascii="Cambria Math" w:hAnsi="Cambria Math" w:eastAsia="仿宋_GB2312" w:cs="仿宋"/>
                      <w:i/>
                      <w:iCs/>
                      <w:sz w:val="28"/>
                      <w:szCs w:val="28"/>
                    </w:rPr>
                  </m:ctrlPr>
                </m:sub>
              </m:sSub>
              <m:ctrlPr>
                <w:rPr>
                  <w:rFonts w:ascii="Cambria Math" w:hAnsi="Cambria Math" w:eastAsia="仿宋_GB2312" w:cs="仿宋"/>
                  <w:i/>
                  <w:iCs/>
                  <w:sz w:val="28"/>
                  <w:szCs w:val="28"/>
                </w:rPr>
              </m:ctrlPr>
            </m:den>
          </m:f>
          <m:r>
            <m:rPr/>
            <w:rPr>
              <w:rFonts w:ascii="Cambria Math" w:hAnsi="Cambria Math" w:eastAsia="仿宋_GB2312" w:cs="仿宋"/>
              <w:sz w:val="28"/>
              <w:szCs w:val="28"/>
            </w:rPr>
            <m:t>−1</m:t>
          </m:r>
        </m:oMath>
      </m:oMathPara>
    </w:p>
    <w:p>
      <w:pPr>
        <w:numPr>
          <w:ilvl w:val="0"/>
          <w:numId w:val="1"/>
        </w:num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对于净额结算的证券融资交易，</w:t>
      </w:r>
      <m:oMath>
        <m:r>
          <m:rPr/>
          <w:rPr>
            <w:rFonts w:ascii="Cambria Math" w:hAnsi="Cambria Math" w:eastAsia="仿宋_GB2312"/>
            <w:sz w:val="28"/>
            <w:szCs w:val="36"/>
          </w:rPr>
          <m:t>H</m:t>
        </m:r>
      </m:oMath>
      <w:r>
        <w:rPr>
          <w:rFonts w:hint="eastAsia" w:ascii="仿宋_GB2312" w:hAnsi="仿宋" w:eastAsia="仿宋_GB2312" w:cs="仿宋"/>
          <w:sz w:val="30"/>
          <w:szCs w:val="30"/>
        </w:rPr>
        <w:t>、</w:t>
      </w:r>
      <m:oMath>
        <m:r>
          <m:rPr/>
          <w:rPr>
            <w:rFonts w:hint="eastAsia" w:ascii="Cambria Math" w:hAnsi="Cambria Math" w:eastAsia="仿宋_GB2312" w:cs="仿宋"/>
            <w:sz w:val="30"/>
            <w:szCs w:val="30"/>
          </w:rPr>
          <m:t>f</m:t>
        </m:r>
      </m:oMath>
      <w:r>
        <w:rPr>
          <w:rFonts w:hint="eastAsia" w:ascii="仿宋_GB2312" w:hAnsi="仿宋" w:eastAsia="仿宋_GB2312" w:cs="仿宋"/>
          <w:sz w:val="30"/>
          <w:szCs w:val="30"/>
        </w:rPr>
        <w:t>应按以下公式计算：</w:t>
      </w:r>
    </w:p>
    <w:p>
      <w:pPr>
        <w:jc w:val="center"/>
        <w:rPr>
          <w:rFonts w:ascii="仿宋_GB2312" w:hAnsi="仿宋" w:eastAsia="仿宋_GB2312" w:cs="仿宋"/>
          <w:sz w:val="28"/>
          <w:szCs w:val="28"/>
        </w:rPr>
      </w:pPr>
      <m:oMathPara>
        <m:oMath>
          <m:r>
            <m:rPr/>
            <w:rPr>
              <w:rFonts w:ascii="Cambria Math" w:hAnsi="Cambria Math" w:eastAsia="仿宋_GB2312" w:cs="仿宋"/>
              <w:sz w:val="28"/>
              <w:szCs w:val="28"/>
            </w:rPr>
            <m:t>H=</m:t>
          </m:r>
          <m:f>
            <m:fPr>
              <m:ctrlPr>
                <w:rPr>
                  <w:rFonts w:ascii="Cambria Math" w:hAnsi="Cambria Math" w:eastAsia="仿宋_GB2312" w:cs="仿宋"/>
                  <w:i/>
                  <w:sz w:val="28"/>
                  <w:szCs w:val="28"/>
                </w:rPr>
              </m:ctrlPr>
            </m:fPr>
            <m:num>
              <m:nary>
                <m:naryPr>
                  <m:chr m:val="∑"/>
                  <m:limLoc m:val="undOvr"/>
                  <m:subHide m:val="1"/>
                  <m:supHide m:val="1"/>
                  <m:ctrlPr>
                    <w:rPr>
                      <w:rFonts w:ascii="Cambria Math" w:hAnsi="Cambria Math" w:eastAsia="仿宋_GB2312" w:cs="仿宋"/>
                      <w:i/>
                      <w:sz w:val="28"/>
                      <w:szCs w:val="28"/>
                    </w:rPr>
                  </m:ctrlPr>
                </m:naryPr>
                <m:sub>
                  <m:ctrlPr>
                    <w:rPr>
                      <w:rFonts w:ascii="Cambria Math" w:hAnsi="Cambria Math" w:eastAsia="仿宋_GB2312" w:cs="仿宋"/>
                      <w:i/>
                      <w:sz w:val="28"/>
                      <w:szCs w:val="28"/>
                    </w:rPr>
                  </m:ctrlPr>
                </m:sub>
                <m:sup>
                  <m:ctrlPr>
                    <w:rPr>
                      <w:rFonts w:ascii="Cambria Math" w:hAnsi="Cambria Math" w:eastAsia="仿宋_GB2312" w:cs="仿宋"/>
                      <w:i/>
                      <w:sz w:val="28"/>
                      <w:szCs w:val="28"/>
                    </w:rPr>
                  </m:ctrlPr>
                </m:sup>
                <m:e>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C</m:t>
                      </m:r>
                      <m:ctrlPr>
                        <w:rPr>
                          <w:rFonts w:ascii="Cambria Math" w:hAnsi="Cambria Math" w:eastAsia="仿宋_GB2312" w:cs="仿宋"/>
                          <w:i/>
                          <w:sz w:val="28"/>
                          <w:szCs w:val="28"/>
                        </w:rPr>
                      </m:ctrlPr>
                    </m:e>
                    <m:sub>
                      <m:r>
                        <m:rPr/>
                        <w:rPr>
                          <w:rFonts w:ascii="Cambria Math" w:hAnsi="Cambria Math" w:eastAsia="仿宋_GB2312" w:cs="仿宋"/>
                          <w:sz w:val="28"/>
                          <w:szCs w:val="28"/>
                        </w:rPr>
                        <m:t>t</m:t>
                      </m:r>
                      <m:ctrlPr>
                        <w:rPr>
                          <w:rFonts w:ascii="Cambria Math" w:hAnsi="Cambria Math" w:eastAsia="仿宋_GB2312" w:cs="仿宋"/>
                          <w:i/>
                          <w:sz w:val="28"/>
                          <w:szCs w:val="28"/>
                        </w:rPr>
                      </m:ctrlPr>
                    </m:sub>
                  </m:sSub>
                  <m:r>
                    <m:rPr/>
                    <w:rPr>
                      <w:rFonts w:ascii="Cambria Math" w:hAnsi="Cambria Math" w:eastAsia="仿宋_GB2312" w:cs="仿宋"/>
                      <w:sz w:val="28"/>
                      <w:szCs w:val="28"/>
                    </w:rPr>
                    <m:t>−</m:t>
                  </m:r>
                  <m:nary>
                    <m:naryPr>
                      <m:chr m:val="∑"/>
                      <m:limLoc m:val="undOvr"/>
                      <m:subHide m:val="1"/>
                      <m:supHide m:val="1"/>
                      <m:ctrlPr>
                        <w:rPr>
                          <w:rFonts w:ascii="Cambria Math" w:hAnsi="Cambria Math" w:eastAsia="仿宋_GB2312" w:cs="仿宋"/>
                          <w:i/>
                          <w:sz w:val="28"/>
                          <w:szCs w:val="28"/>
                        </w:rPr>
                      </m:ctrlPr>
                    </m:naryPr>
                    <m:sub>
                      <m:ctrlPr>
                        <w:rPr>
                          <w:rFonts w:ascii="Cambria Math" w:hAnsi="Cambria Math" w:eastAsia="仿宋_GB2312" w:cs="仿宋"/>
                          <w:i/>
                          <w:sz w:val="28"/>
                          <w:szCs w:val="28"/>
                        </w:rPr>
                      </m:ctrlPr>
                    </m:sub>
                    <m:sup>
                      <m:ctrlPr>
                        <w:rPr>
                          <w:rFonts w:ascii="Cambria Math" w:hAnsi="Cambria Math" w:eastAsia="仿宋_GB2312" w:cs="仿宋"/>
                          <w:i/>
                          <w:sz w:val="28"/>
                          <w:szCs w:val="28"/>
                        </w:rPr>
                      </m:ctrlPr>
                    </m:sup>
                    <m:e>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e>
                  </m:nary>
                  <m:ctrlPr>
                    <w:rPr>
                      <w:rFonts w:ascii="Cambria Math" w:hAnsi="Cambria Math" w:eastAsia="仿宋_GB2312" w:cs="仿宋"/>
                      <w:i/>
                      <w:sz w:val="28"/>
                      <w:szCs w:val="28"/>
                    </w:rPr>
                  </m:ctrlPr>
                </m:e>
              </m:nary>
              <m:ctrlPr>
                <w:rPr>
                  <w:rFonts w:ascii="Cambria Math" w:hAnsi="Cambria Math" w:eastAsia="仿宋_GB2312" w:cs="仿宋"/>
                  <w:i/>
                  <w:sz w:val="28"/>
                  <w:szCs w:val="28"/>
                </w:rPr>
              </m:ctrlPr>
            </m:num>
            <m:den>
              <m:nary>
                <m:naryPr>
                  <m:chr m:val="∑"/>
                  <m:limLoc m:val="undOvr"/>
                  <m:subHide m:val="1"/>
                  <m:supHide m:val="1"/>
                  <m:ctrlPr>
                    <w:rPr>
                      <w:rFonts w:ascii="Cambria Math" w:hAnsi="Cambria Math" w:eastAsia="仿宋_GB2312" w:cs="仿宋"/>
                      <w:i/>
                      <w:sz w:val="28"/>
                      <w:szCs w:val="28"/>
                    </w:rPr>
                  </m:ctrlPr>
                </m:naryPr>
                <m:sub>
                  <m:ctrlPr>
                    <w:rPr>
                      <w:rFonts w:ascii="Cambria Math" w:hAnsi="Cambria Math" w:eastAsia="仿宋_GB2312" w:cs="仿宋"/>
                      <w:i/>
                      <w:sz w:val="28"/>
                      <w:szCs w:val="28"/>
                    </w:rPr>
                  </m:ctrlPr>
                </m:sub>
                <m:sup>
                  <m:ctrlPr>
                    <w:rPr>
                      <w:rFonts w:ascii="Cambria Math" w:hAnsi="Cambria Math" w:eastAsia="仿宋_GB2312" w:cs="仿宋"/>
                      <w:i/>
                      <w:sz w:val="28"/>
                      <w:szCs w:val="28"/>
                    </w:rPr>
                  </m:ctrlPr>
                </m:sup>
                <m:e>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ctrlPr>
                    <w:rPr>
                      <w:rFonts w:ascii="Cambria Math" w:hAnsi="Cambria Math" w:eastAsia="仿宋_GB2312" w:cs="仿宋"/>
                      <w:i/>
                      <w:sz w:val="28"/>
                      <w:szCs w:val="28"/>
                    </w:rPr>
                  </m:ctrlPr>
                </m:e>
              </m:nary>
              <m:ctrlPr>
                <w:rPr>
                  <w:rFonts w:ascii="Cambria Math" w:hAnsi="Cambria Math" w:eastAsia="仿宋_GB2312" w:cs="仿宋"/>
                  <w:i/>
                  <w:sz w:val="28"/>
                  <w:szCs w:val="28"/>
                </w:rPr>
              </m:ctrlPr>
            </m:den>
          </m:f>
        </m:oMath>
      </m:oMathPara>
    </w:p>
    <w:p>
      <w:pPr>
        <w:jc w:val="center"/>
        <w:rPr>
          <w:rFonts w:ascii="仿宋_GB2312" w:hAnsi="仿宋" w:eastAsia="仿宋_GB2312" w:cs="仿宋"/>
          <w:sz w:val="30"/>
          <w:szCs w:val="30"/>
        </w:rPr>
      </w:pPr>
      <m:oMathPara>
        <m:oMath>
          <m:r>
            <m:rPr/>
            <w:rPr>
              <w:rFonts w:ascii="DejaVu Math TeX Gyre" w:hAnsi="DejaVu Math TeX Gyre" w:eastAsia="仿宋_GB2312" w:cs="仿宋"/>
              <w:sz w:val="28"/>
              <w:szCs w:val="28"/>
            </w:rPr>
            <m:t>f=</m:t>
          </m:r>
          <m:d>
            <m:dPr>
              <m:begChr m:val="["/>
              <m:endChr m:val="]"/>
              <m:ctrlPr>
                <w:rPr>
                  <w:rFonts w:ascii="DejaVu Math TeX Gyre" w:hAnsi="DejaVu Math TeX Gyre" w:eastAsia="仿宋_GB2312" w:cs="仿宋"/>
                  <w:i/>
                  <w:sz w:val="28"/>
                  <w:szCs w:val="28"/>
                </w:rPr>
              </m:ctrlPr>
            </m:dPr>
            <m:e>
              <m:d>
                <m:dPr>
                  <m:ctrlPr>
                    <w:rPr>
                      <w:rFonts w:ascii="DejaVu Math TeX Gyre" w:hAnsi="DejaVu Math TeX Gyre" w:eastAsia="仿宋_GB2312" w:cs="仿宋"/>
                      <w:i/>
                      <w:sz w:val="28"/>
                      <w:szCs w:val="28"/>
                    </w:rPr>
                  </m:ctrlPr>
                </m:dPr>
                <m:e>
                  <m:f>
                    <m:fPr>
                      <m:ctrlPr>
                        <w:rPr>
                          <w:rFonts w:ascii="DejaVu Math TeX Gyre" w:hAnsi="DejaVu Math TeX Gyre" w:eastAsia="仿宋_GB2312" w:cs="仿宋"/>
                          <w:i/>
                          <w:sz w:val="28"/>
                          <w:szCs w:val="28"/>
                        </w:rPr>
                      </m:ctrlPr>
                    </m:fPr>
                    <m:num>
                      <m:nary>
                        <m:naryPr>
                          <m:chr m:val="∑"/>
                          <m:limLoc m:val="subSup"/>
                          <m:supHide m:val="1"/>
                          <m:ctrlPr>
                            <w:rPr>
                              <w:rFonts w:ascii="DejaVu Math TeX Gyre" w:hAnsi="DejaVu Math TeX Gyre" w:eastAsia="仿宋_GB2312" w:cs="仿宋"/>
                              <w:i/>
                              <w:sz w:val="28"/>
                              <w:szCs w:val="28"/>
                            </w:rPr>
                          </m:ctrlPr>
                        </m:naryPr>
                        <m:sub>
                          <m:r>
                            <m:rPr/>
                            <w:rPr>
                              <w:rFonts w:ascii="DejaVu Math TeX Gyre" w:hAnsi="DejaVu Math TeX Gyre" w:eastAsia="仿宋_GB2312" w:cs="仿宋"/>
                              <w:sz w:val="28"/>
                              <w:szCs w:val="28"/>
                            </w:rPr>
                            <m:t>s</m:t>
                          </m:r>
                          <m:ctrlPr>
                            <w:rPr>
                              <w:rFonts w:ascii="DejaVu Math TeX Gyre" w:hAnsi="DejaVu Math TeX Gyre" w:eastAsia="仿宋_GB2312" w:cs="仿宋"/>
                              <w:i/>
                              <w:sz w:val="28"/>
                              <w:szCs w:val="28"/>
                            </w:rPr>
                          </m:ctrlPr>
                        </m:sub>
                        <m:sup>
                          <m:ctrlPr>
                            <w:rPr>
                              <w:rFonts w:ascii="DejaVu Math TeX Gyre" w:hAnsi="DejaVu Math TeX Gyre" w:eastAsia="仿宋_GB2312" w:cs="仿宋"/>
                              <w:i/>
                              <w:sz w:val="28"/>
                              <w:szCs w:val="28"/>
                            </w:rPr>
                          </m:ctrlPr>
                        </m:sup>
                        <m:e>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E</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s</m:t>
                              </m:r>
                              <m:ctrlPr>
                                <w:rPr>
                                  <w:rFonts w:ascii="DejaVu Math TeX Gyre" w:hAnsi="DejaVu Math TeX Gyre" w:eastAsia="仿宋_GB2312" w:cs="仿宋"/>
                                  <w:i/>
                                  <w:sz w:val="28"/>
                                  <w:szCs w:val="28"/>
                                </w:rPr>
                              </m:ctrlPr>
                            </m:sub>
                          </m:sSub>
                          <m:ctrlPr>
                            <w:rPr>
                              <w:rFonts w:ascii="DejaVu Math TeX Gyre" w:hAnsi="DejaVu Math TeX Gyre" w:eastAsia="仿宋_GB2312" w:cs="仿宋"/>
                              <w:i/>
                              <w:sz w:val="28"/>
                              <w:szCs w:val="28"/>
                            </w:rPr>
                          </m:ctrlPr>
                        </m:e>
                      </m:nary>
                      <m:r>
                        <m:rPr/>
                        <w:rPr>
                          <w:rFonts w:ascii="Cambria Math" w:hAnsi="DejaVu Math TeX Gyre" w:eastAsia="仿宋_GB2312" w:cs="仿宋"/>
                          <w:sz w:val="28"/>
                          <w:szCs w:val="28"/>
                        </w:rPr>
                        <m:t>/</m:t>
                      </m:r>
                      <m:r>
                        <m:rPr/>
                        <w:rPr>
                          <w:rFonts w:ascii="DejaVu Math TeX Gyre" w:hAnsi="DejaVu Math TeX Gyre" w:eastAsia="仿宋_GB2312" w:cs="仿宋"/>
                          <w:sz w:val="28"/>
                          <w:szCs w:val="28"/>
                        </w:rPr>
                        <m:t>(1+</m:t>
                      </m:r>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f</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s</m:t>
                          </m:r>
                          <m:ctrlPr>
                            <w:rPr>
                              <w:rFonts w:ascii="DejaVu Math TeX Gyre" w:hAnsi="DejaVu Math TeX Gyre" w:eastAsia="仿宋_GB2312" w:cs="仿宋"/>
                              <w:i/>
                              <w:sz w:val="28"/>
                              <w:szCs w:val="28"/>
                            </w:rPr>
                          </m:ctrlPr>
                        </m:sub>
                      </m:sSub>
                      <m:r>
                        <m:rPr/>
                        <w:rPr>
                          <w:rFonts w:ascii="DejaVu Math TeX Gyre" w:hAnsi="DejaVu Math TeX Gyre" w:eastAsia="仿宋_GB2312" w:cs="仿宋"/>
                          <w:sz w:val="28"/>
                          <w:szCs w:val="28"/>
                        </w:rPr>
                        <m:t>)</m:t>
                      </m:r>
                      <m:ctrlPr>
                        <w:rPr>
                          <w:rFonts w:ascii="DejaVu Math TeX Gyre" w:hAnsi="DejaVu Math TeX Gyre" w:eastAsia="仿宋_GB2312" w:cs="仿宋"/>
                          <w:i/>
                          <w:sz w:val="28"/>
                          <w:szCs w:val="28"/>
                        </w:rPr>
                      </m:ctrlPr>
                    </m:num>
                    <m:den>
                      <m:nary>
                        <m:naryPr>
                          <m:chr m:val="∑"/>
                          <m:limLoc m:val="subSup"/>
                          <m:supHide m:val="1"/>
                          <m:ctrlPr>
                            <w:rPr>
                              <w:rFonts w:ascii="DejaVu Math TeX Gyre" w:hAnsi="DejaVu Math TeX Gyre" w:eastAsia="仿宋_GB2312" w:cs="仿宋"/>
                              <w:i/>
                              <w:sz w:val="28"/>
                              <w:szCs w:val="28"/>
                            </w:rPr>
                          </m:ctrlPr>
                        </m:naryPr>
                        <m:sub>
                          <m:r>
                            <m:rPr/>
                            <w:rPr>
                              <w:rFonts w:ascii="DejaVu Math TeX Gyre" w:hAnsi="DejaVu Math TeX Gyre" w:eastAsia="仿宋_GB2312" w:cs="仿宋"/>
                              <w:sz w:val="28"/>
                              <w:szCs w:val="28"/>
                            </w:rPr>
                            <m:t>s</m:t>
                          </m:r>
                          <m:ctrlPr>
                            <w:rPr>
                              <w:rFonts w:ascii="DejaVu Math TeX Gyre" w:hAnsi="DejaVu Math TeX Gyre" w:eastAsia="仿宋_GB2312" w:cs="仿宋"/>
                              <w:i/>
                              <w:sz w:val="28"/>
                              <w:szCs w:val="28"/>
                            </w:rPr>
                          </m:ctrlPr>
                        </m:sub>
                        <m:sup>
                          <m:ctrlPr>
                            <w:rPr>
                              <w:rFonts w:ascii="DejaVu Math TeX Gyre" w:hAnsi="DejaVu Math TeX Gyre" w:eastAsia="仿宋_GB2312" w:cs="仿宋"/>
                              <w:i/>
                              <w:sz w:val="28"/>
                              <w:szCs w:val="28"/>
                            </w:rPr>
                          </m:ctrlPr>
                        </m:sup>
                        <m:e>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E</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s</m:t>
                              </m:r>
                              <m:ctrlPr>
                                <w:rPr>
                                  <w:rFonts w:ascii="DejaVu Math TeX Gyre" w:hAnsi="DejaVu Math TeX Gyre" w:eastAsia="仿宋_GB2312" w:cs="仿宋"/>
                                  <w:i/>
                                  <w:sz w:val="28"/>
                                  <w:szCs w:val="28"/>
                                </w:rPr>
                              </m:ctrlPr>
                            </m:sub>
                          </m:sSub>
                          <m:ctrlPr>
                            <w:rPr>
                              <w:rFonts w:ascii="DejaVu Math TeX Gyre" w:hAnsi="DejaVu Math TeX Gyre" w:eastAsia="仿宋_GB2312" w:cs="仿宋"/>
                              <w:i/>
                              <w:sz w:val="28"/>
                              <w:szCs w:val="28"/>
                            </w:rPr>
                          </m:ctrlPr>
                        </m:e>
                      </m:nary>
                      <m:ctrlPr>
                        <w:rPr>
                          <w:rFonts w:ascii="DejaVu Math TeX Gyre" w:hAnsi="DejaVu Math TeX Gyre" w:eastAsia="仿宋_GB2312" w:cs="仿宋"/>
                          <w:i/>
                          <w:sz w:val="28"/>
                          <w:szCs w:val="28"/>
                        </w:rPr>
                      </m:ctrlPr>
                    </m:den>
                  </m:f>
                  <m:ctrlPr>
                    <w:rPr>
                      <w:rFonts w:ascii="DejaVu Math TeX Gyre" w:hAnsi="DejaVu Math TeX Gyre" w:eastAsia="仿宋_GB2312" w:cs="仿宋"/>
                      <w:i/>
                      <w:sz w:val="28"/>
                      <w:szCs w:val="28"/>
                    </w:rPr>
                  </m:ctrlPr>
                </m:e>
              </m:d>
              <m:r>
                <m:rPr/>
                <w:rPr>
                  <w:rFonts w:ascii="DejaVu Math TeX Gyre" w:hAnsi="DejaVu Math TeX Gyre" w:eastAsia="仿宋_GB2312" w:cs="仿宋"/>
                  <w:sz w:val="28"/>
                  <w:szCs w:val="28"/>
                </w:rPr>
                <m:t>/</m:t>
              </m:r>
              <m:d>
                <m:dPr>
                  <m:ctrlPr>
                    <w:rPr>
                      <w:rFonts w:ascii="DejaVu Math TeX Gyre" w:hAnsi="DejaVu Math TeX Gyre" w:eastAsia="仿宋_GB2312" w:cs="仿宋"/>
                      <w:i/>
                      <w:sz w:val="28"/>
                      <w:szCs w:val="28"/>
                    </w:rPr>
                  </m:ctrlPr>
                </m:dPr>
                <m:e>
                  <m:f>
                    <m:fPr>
                      <m:ctrlPr>
                        <w:rPr>
                          <w:rFonts w:ascii="DejaVu Math TeX Gyre" w:hAnsi="DejaVu Math TeX Gyre" w:eastAsia="仿宋_GB2312" w:cs="仿宋"/>
                          <w:i/>
                          <w:sz w:val="28"/>
                          <w:szCs w:val="28"/>
                        </w:rPr>
                      </m:ctrlPr>
                    </m:fPr>
                    <m:num>
                      <m:nary>
                        <m:naryPr>
                          <m:chr m:val="∑"/>
                          <m:limLoc m:val="subSup"/>
                          <m:supHide m:val="1"/>
                          <m:ctrlPr>
                            <w:rPr>
                              <w:rFonts w:ascii="DejaVu Math TeX Gyre" w:hAnsi="DejaVu Math TeX Gyre" w:eastAsia="仿宋_GB2312" w:cs="仿宋"/>
                              <w:i/>
                              <w:sz w:val="28"/>
                              <w:szCs w:val="28"/>
                            </w:rPr>
                          </m:ctrlPr>
                        </m:naryPr>
                        <m:sub>
                          <m:r>
                            <m:rPr/>
                            <w:rPr>
                              <w:rFonts w:ascii="DejaVu Math TeX Gyre" w:hAnsi="DejaVu Math TeX Gyre" w:eastAsia="仿宋_GB2312" w:cs="仿宋"/>
                              <w:sz w:val="28"/>
                              <w:szCs w:val="28"/>
                            </w:rPr>
                            <m:t>t</m:t>
                          </m:r>
                          <m:ctrlPr>
                            <w:rPr>
                              <w:rFonts w:ascii="DejaVu Math TeX Gyre" w:hAnsi="DejaVu Math TeX Gyre" w:eastAsia="仿宋_GB2312" w:cs="仿宋"/>
                              <w:i/>
                              <w:sz w:val="28"/>
                              <w:szCs w:val="28"/>
                            </w:rPr>
                          </m:ctrlPr>
                        </m:sub>
                        <m:sup>
                          <m:ctrlPr>
                            <w:rPr>
                              <w:rFonts w:ascii="DejaVu Math TeX Gyre" w:hAnsi="DejaVu Math TeX Gyre" w:eastAsia="仿宋_GB2312" w:cs="仿宋"/>
                              <w:i/>
                              <w:sz w:val="28"/>
                              <w:szCs w:val="28"/>
                            </w:rPr>
                          </m:ctrlPr>
                        </m:sup>
                        <m:e>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C</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t</m:t>
                              </m:r>
                              <m:ctrlPr>
                                <w:rPr>
                                  <w:rFonts w:ascii="DejaVu Math TeX Gyre" w:hAnsi="DejaVu Math TeX Gyre" w:eastAsia="仿宋_GB2312" w:cs="仿宋"/>
                                  <w:i/>
                                  <w:sz w:val="28"/>
                                  <w:szCs w:val="28"/>
                                </w:rPr>
                              </m:ctrlPr>
                            </m:sub>
                          </m:sSub>
                          <m:r>
                            <m:rPr/>
                            <w:rPr>
                              <w:rFonts w:ascii="Cambria Math" w:hAnsi="DejaVu Math TeX Gyre" w:eastAsia="仿宋_GB2312" w:cs="仿宋"/>
                              <w:sz w:val="28"/>
                              <w:szCs w:val="28"/>
                            </w:rPr>
                            <m:t>/</m:t>
                          </m:r>
                          <m:ctrlPr>
                            <w:rPr>
                              <w:rFonts w:ascii="DejaVu Math TeX Gyre" w:hAnsi="DejaVu Math TeX Gyre" w:eastAsia="仿宋_GB2312" w:cs="仿宋"/>
                              <w:i/>
                              <w:sz w:val="28"/>
                              <w:szCs w:val="28"/>
                            </w:rPr>
                          </m:ctrlPr>
                        </m:e>
                      </m:nary>
                      <m:r>
                        <m:rPr/>
                        <w:rPr>
                          <w:rFonts w:ascii="DejaVu Math TeX Gyre" w:hAnsi="DejaVu Math TeX Gyre" w:eastAsia="仿宋_GB2312" w:cs="仿宋"/>
                          <w:sz w:val="28"/>
                          <w:szCs w:val="28"/>
                        </w:rPr>
                        <m:t>(1+</m:t>
                      </m:r>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f</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t</m:t>
                          </m:r>
                          <m:ctrlPr>
                            <w:rPr>
                              <w:rFonts w:ascii="DejaVu Math TeX Gyre" w:hAnsi="DejaVu Math TeX Gyre" w:eastAsia="仿宋_GB2312" w:cs="仿宋"/>
                              <w:i/>
                              <w:sz w:val="28"/>
                              <w:szCs w:val="28"/>
                            </w:rPr>
                          </m:ctrlPr>
                        </m:sub>
                      </m:sSub>
                      <m:r>
                        <m:rPr/>
                        <w:rPr>
                          <w:rFonts w:ascii="DejaVu Math TeX Gyre" w:hAnsi="DejaVu Math TeX Gyre" w:eastAsia="仿宋_GB2312" w:cs="仿宋"/>
                          <w:sz w:val="28"/>
                          <w:szCs w:val="28"/>
                        </w:rPr>
                        <m:t>)</m:t>
                      </m:r>
                      <m:ctrlPr>
                        <w:rPr>
                          <w:rFonts w:ascii="DejaVu Math TeX Gyre" w:hAnsi="DejaVu Math TeX Gyre" w:eastAsia="仿宋_GB2312" w:cs="仿宋"/>
                          <w:i/>
                          <w:sz w:val="28"/>
                          <w:szCs w:val="28"/>
                        </w:rPr>
                      </m:ctrlPr>
                    </m:num>
                    <m:den>
                      <m:nary>
                        <m:naryPr>
                          <m:chr m:val="∑"/>
                          <m:limLoc m:val="subSup"/>
                          <m:supHide m:val="1"/>
                          <m:ctrlPr>
                            <w:rPr>
                              <w:rFonts w:ascii="DejaVu Math TeX Gyre" w:hAnsi="DejaVu Math TeX Gyre" w:eastAsia="仿宋_GB2312" w:cs="仿宋"/>
                              <w:i/>
                              <w:sz w:val="28"/>
                              <w:szCs w:val="28"/>
                            </w:rPr>
                          </m:ctrlPr>
                        </m:naryPr>
                        <m:sub>
                          <m:r>
                            <m:rPr/>
                            <w:rPr>
                              <w:rFonts w:ascii="DejaVu Math TeX Gyre" w:hAnsi="DejaVu Math TeX Gyre" w:eastAsia="仿宋_GB2312" w:cs="仿宋"/>
                              <w:sz w:val="28"/>
                              <w:szCs w:val="28"/>
                            </w:rPr>
                            <m:t>t</m:t>
                          </m:r>
                          <m:ctrlPr>
                            <w:rPr>
                              <w:rFonts w:ascii="DejaVu Math TeX Gyre" w:hAnsi="DejaVu Math TeX Gyre" w:eastAsia="仿宋_GB2312" w:cs="仿宋"/>
                              <w:i/>
                              <w:sz w:val="28"/>
                              <w:szCs w:val="28"/>
                            </w:rPr>
                          </m:ctrlPr>
                        </m:sub>
                        <m:sup>
                          <m:ctrlPr>
                            <w:rPr>
                              <w:rFonts w:ascii="DejaVu Math TeX Gyre" w:hAnsi="DejaVu Math TeX Gyre" w:eastAsia="仿宋_GB2312" w:cs="仿宋"/>
                              <w:i/>
                              <w:sz w:val="28"/>
                              <w:szCs w:val="28"/>
                            </w:rPr>
                          </m:ctrlPr>
                        </m:sup>
                        <m:e>
                          <m:sSub>
                            <m:sSubPr>
                              <m:ctrlPr>
                                <w:rPr>
                                  <w:rFonts w:ascii="DejaVu Math TeX Gyre" w:hAnsi="DejaVu Math TeX Gyre" w:eastAsia="仿宋_GB2312" w:cs="仿宋"/>
                                  <w:i/>
                                  <w:sz w:val="28"/>
                                  <w:szCs w:val="28"/>
                                </w:rPr>
                              </m:ctrlPr>
                            </m:sSubPr>
                            <m:e>
                              <m:r>
                                <m:rPr/>
                                <w:rPr>
                                  <w:rFonts w:ascii="DejaVu Math TeX Gyre" w:hAnsi="DejaVu Math TeX Gyre" w:eastAsia="仿宋_GB2312" w:cs="仿宋"/>
                                  <w:sz w:val="28"/>
                                  <w:szCs w:val="28"/>
                                </w:rPr>
                                <m:t>C</m:t>
                              </m:r>
                              <m:ctrlPr>
                                <w:rPr>
                                  <w:rFonts w:ascii="DejaVu Math TeX Gyre" w:hAnsi="DejaVu Math TeX Gyre" w:eastAsia="仿宋_GB2312" w:cs="仿宋"/>
                                  <w:i/>
                                  <w:sz w:val="28"/>
                                  <w:szCs w:val="28"/>
                                </w:rPr>
                              </m:ctrlPr>
                            </m:e>
                            <m:sub>
                              <m:r>
                                <m:rPr/>
                                <w:rPr>
                                  <w:rFonts w:ascii="DejaVu Math TeX Gyre" w:hAnsi="DejaVu Math TeX Gyre" w:eastAsia="仿宋_GB2312" w:cs="仿宋"/>
                                  <w:sz w:val="28"/>
                                  <w:szCs w:val="28"/>
                                </w:rPr>
                                <m:t>t</m:t>
                              </m:r>
                              <m:ctrlPr>
                                <w:rPr>
                                  <w:rFonts w:ascii="DejaVu Math TeX Gyre" w:hAnsi="DejaVu Math TeX Gyre" w:eastAsia="仿宋_GB2312" w:cs="仿宋"/>
                                  <w:i/>
                                  <w:sz w:val="28"/>
                                  <w:szCs w:val="28"/>
                                </w:rPr>
                              </m:ctrlPr>
                            </m:sub>
                          </m:sSub>
                          <m:ctrlPr>
                            <w:rPr>
                              <w:rFonts w:ascii="DejaVu Math TeX Gyre" w:hAnsi="DejaVu Math TeX Gyre" w:eastAsia="仿宋_GB2312" w:cs="仿宋"/>
                              <w:i/>
                              <w:sz w:val="28"/>
                              <w:szCs w:val="28"/>
                            </w:rPr>
                          </m:ctrlPr>
                        </m:e>
                      </m:nary>
                      <m:ctrlPr>
                        <w:rPr>
                          <w:rFonts w:ascii="DejaVu Math TeX Gyre" w:hAnsi="DejaVu Math TeX Gyre" w:eastAsia="仿宋_GB2312" w:cs="仿宋"/>
                          <w:i/>
                          <w:sz w:val="28"/>
                          <w:szCs w:val="28"/>
                        </w:rPr>
                      </m:ctrlPr>
                    </m:den>
                  </m:f>
                  <m:ctrlPr>
                    <w:rPr>
                      <w:rFonts w:ascii="DejaVu Math TeX Gyre" w:hAnsi="DejaVu Math TeX Gyre" w:eastAsia="仿宋_GB2312" w:cs="仿宋"/>
                      <w:i/>
                      <w:sz w:val="28"/>
                      <w:szCs w:val="28"/>
                    </w:rPr>
                  </m:ctrlPr>
                </m:e>
              </m:d>
              <m:ctrlPr>
                <w:rPr>
                  <w:rFonts w:ascii="DejaVu Math TeX Gyre" w:hAnsi="DejaVu Math TeX Gyre" w:eastAsia="仿宋_GB2312" w:cs="仿宋"/>
                  <w:i/>
                  <w:sz w:val="28"/>
                  <w:szCs w:val="28"/>
                </w:rPr>
              </m:ctrlPr>
            </m:e>
          </m:d>
          <m:r>
            <m:rPr/>
            <w:rPr>
              <w:rFonts w:ascii="DejaVu Math TeX Gyre" w:hAnsi="DejaVu Math TeX Gyre" w:eastAsia="仿宋_GB2312" w:cs="仿宋"/>
              <w:sz w:val="28"/>
              <w:szCs w:val="28"/>
            </w:rPr>
            <m:t>−1</m:t>
          </m:r>
        </m:oMath>
      </m:oMathPara>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E</m:t>
            </m:r>
            <m:ctrlPr>
              <w:rPr>
                <w:rFonts w:ascii="Cambria Math" w:hAnsi="Cambria Math" w:eastAsia="仿宋_GB2312" w:cs="仿宋"/>
                <w:i/>
                <w:sz w:val="28"/>
                <w:szCs w:val="28"/>
              </w:rPr>
            </m:ctrlPr>
          </m:e>
          <m:sub>
            <m:r>
              <m:rPr/>
              <w:rPr>
                <w:rFonts w:ascii="Cambria Math" w:hAnsi="Cambria Math" w:eastAsia="仿宋_GB2312" w:cs="仿宋"/>
                <w:sz w:val="28"/>
                <w:szCs w:val="28"/>
              </w:rPr>
              <m:t>s</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是借出证券（或现金）的净头寸，</w:t>
      </w:r>
      <m:oMath>
        <m:sSub>
          <m:sSubPr>
            <m:ctrlPr>
              <w:rPr>
                <w:rFonts w:ascii="Cambria Math" w:hAnsi="Cambria Math" w:eastAsia="仿宋_GB2312" w:cs="仿宋"/>
                <w:i/>
                <w:sz w:val="28"/>
                <w:szCs w:val="28"/>
              </w:rPr>
            </m:ctrlPr>
          </m:sSubPr>
          <m:e>
            <m:r>
              <m:rPr/>
              <w:rPr>
                <w:rFonts w:ascii="Cambria Math" w:hAnsi="Cambria Math" w:eastAsia="仿宋_GB2312" w:cs="仿宋"/>
                <w:sz w:val="28"/>
                <w:szCs w:val="28"/>
              </w:rPr>
              <m:t>C</m:t>
            </m:r>
            <m:ctrlPr>
              <w:rPr>
                <w:rFonts w:ascii="Cambria Math" w:hAnsi="Cambria Math" w:eastAsia="仿宋_GB2312" w:cs="仿宋"/>
                <w:i/>
                <w:sz w:val="28"/>
                <w:szCs w:val="28"/>
              </w:rPr>
            </m:ctrlPr>
          </m:e>
          <m:sub>
            <m:r>
              <m:rPr/>
              <w:rPr>
                <w:rFonts w:ascii="Cambria Math" w:hAnsi="Cambria Math" w:eastAsia="仿宋_GB2312" w:cs="仿宋"/>
                <w:sz w:val="28"/>
                <w:szCs w:val="28"/>
              </w:rPr>
              <m:t>t</m:t>
            </m:r>
            <m:ctrlPr>
              <w:rPr>
                <w:rFonts w:ascii="Cambria Math" w:hAnsi="Cambria Math" w:eastAsia="仿宋_GB2312" w:cs="仿宋"/>
                <w:i/>
                <w:sz w:val="28"/>
                <w:szCs w:val="28"/>
              </w:rPr>
            </m:ctrlPr>
          </m:sub>
        </m:sSub>
      </m:oMath>
      <w:r>
        <w:rPr>
          <w:rFonts w:hint="eastAsia" w:ascii="仿宋_GB2312" w:hAnsi="仿宋" w:eastAsia="仿宋_GB2312" w:cs="仿宋"/>
          <w:sz w:val="30"/>
          <w:szCs w:val="30"/>
        </w:rPr>
        <w:t>是借入证券（或现金）的净头寸，</w:t>
      </w:r>
      <m:oMath>
        <m:sSub>
          <m:sSubPr>
            <m:ctrlPr>
              <w:rPr>
                <w:rFonts w:ascii="DejaVu Math TeX Gyre" w:hAnsi="DejaVu Math TeX Gyre" w:eastAsia="仿宋_GB2312" w:cs="仿宋"/>
                <w:i/>
                <w:sz w:val="30"/>
                <w:szCs w:val="30"/>
              </w:rPr>
            </m:ctrlPr>
          </m:sSubPr>
          <m:e>
            <m:r>
              <m:rPr/>
              <w:rPr>
                <w:rFonts w:ascii="DejaVu Math TeX Gyre" w:hAnsi="DejaVu Math TeX Gyre" w:eastAsia="仿宋_GB2312" w:cs="仿宋"/>
                <w:sz w:val="30"/>
                <w:szCs w:val="30"/>
              </w:rPr>
              <m:t>f</m:t>
            </m:r>
            <m:ctrlPr>
              <w:rPr>
                <w:rFonts w:ascii="DejaVu Math TeX Gyre" w:hAnsi="DejaVu Math TeX Gyre" w:eastAsia="仿宋_GB2312" w:cs="仿宋"/>
                <w:i/>
                <w:sz w:val="30"/>
                <w:szCs w:val="30"/>
              </w:rPr>
            </m:ctrlPr>
          </m:e>
          <m:sub>
            <m:r>
              <m:rPr/>
              <w:rPr>
                <w:rFonts w:ascii="DejaVu Math TeX Gyre" w:hAnsi="DejaVu Math TeX Gyre" w:eastAsia="仿宋_GB2312" w:cs="仿宋"/>
                <w:sz w:val="30"/>
                <w:szCs w:val="30"/>
              </w:rPr>
              <m:t>s</m:t>
            </m:r>
            <m:ctrlPr>
              <w:rPr>
                <w:rFonts w:ascii="DejaVu Math TeX Gyre" w:hAnsi="DejaVu Math TeX Gyre" w:eastAsia="仿宋_GB2312" w:cs="仿宋"/>
                <w:i/>
                <w:sz w:val="30"/>
                <w:szCs w:val="30"/>
              </w:rPr>
            </m:ctrlPr>
          </m:sub>
        </m:sSub>
      </m:oMath>
      <w:r>
        <w:rPr>
          <w:rFonts w:hint="eastAsia" w:ascii="仿宋_GB2312" w:hAnsi="仿宋" w:eastAsia="仿宋_GB2312" w:cs="仿宋"/>
          <w:sz w:val="30"/>
          <w:szCs w:val="30"/>
        </w:rPr>
        <w:t>和</w:t>
      </w:r>
      <m:oMath>
        <m:sSub>
          <m:sSubPr>
            <m:ctrlPr>
              <w:rPr>
                <w:rFonts w:ascii="DejaVu Math TeX Gyre" w:hAnsi="DejaVu Math TeX Gyre" w:eastAsia="仿宋_GB2312" w:cs="仿宋"/>
                <w:i/>
                <w:sz w:val="30"/>
                <w:szCs w:val="30"/>
              </w:rPr>
            </m:ctrlPr>
          </m:sSubPr>
          <m:e>
            <m:r>
              <m:rPr/>
              <w:rPr>
                <w:rFonts w:ascii="DejaVu Math TeX Gyre" w:hAnsi="DejaVu Math TeX Gyre" w:eastAsia="仿宋_GB2312" w:cs="仿宋"/>
                <w:sz w:val="30"/>
                <w:szCs w:val="30"/>
              </w:rPr>
              <m:t>f</m:t>
            </m:r>
            <m:ctrlPr>
              <w:rPr>
                <w:rFonts w:ascii="DejaVu Math TeX Gyre" w:hAnsi="DejaVu Math TeX Gyre" w:eastAsia="仿宋_GB2312" w:cs="仿宋"/>
                <w:i/>
                <w:sz w:val="30"/>
                <w:szCs w:val="30"/>
              </w:rPr>
            </m:ctrlPr>
          </m:e>
          <m:sub>
            <m:r>
              <m:rPr/>
              <w:rPr>
                <w:rFonts w:ascii="DejaVu Math TeX Gyre" w:hAnsi="DejaVu Math TeX Gyre" w:eastAsia="仿宋_GB2312" w:cs="仿宋"/>
                <w:sz w:val="30"/>
                <w:szCs w:val="30"/>
              </w:rPr>
              <m:t>t</m:t>
            </m:r>
            <m:ctrlPr>
              <w:rPr>
                <w:rFonts w:ascii="DejaVu Math TeX Gyre" w:hAnsi="DejaVu Math TeX Gyre" w:eastAsia="仿宋_GB2312" w:cs="仿宋"/>
                <w:i/>
                <w:sz w:val="30"/>
                <w:szCs w:val="30"/>
              </w:rPr>
            </m:ctrlPr>
          </m:sub>
        </m:sSub>
      </m:oMath>
      <w:r>
        <w:rPr>
          <w:rFonts w:hint="eastAsia" w:ascii="仿宋_GB2312" w:hAnsi="仿宋" w:eastAsia="仿宋_GB2312" w:cs="仿宋"/>
          <w:sz w:val="30"/>
          <w:szCs w:val="30"/>
        </w:rPr>
        <w:t>分别是净借出和净借入证券的折扣底线。</w:t>
      </w:r>
    </w:p>
    <w:p>
      <w:pPr>
        <w:spacing w:line="480" w:lineRule="exact"/>
        <w:ind w:firstLine="600" w:firstLineChars="200"/>
        <w:rPr>
          <w:rFonts w:ascii="仿宋_GB2312" w:hAnsi="仿宋" w:eastAsia="仿宋_GB2312" w:cs="仿宋"/>
          <w:bCs/>
          <w:i/>
          <w:iCs/>
          <w:kern w:val="0"/>
          <w:sz w:val="30"/>
          <w:szCs w:val="30"/>
          <w:u w:val="single"/>
        </w:rPr>
      </w:pPr>
      <w:r>
        <w:rPr>
          <w:rFonts w:hint="eastAsia" w:ascii="仿宋_GB2312" w:hAnsi="仿宋" w:eastAsia="仿宋_GB2312" w:cs="仿宋"/>
          <w:sz w:val="30"/>
          <w:szCs w:val="30"/>
        </w:rPr>
        <w:t>出于计算需要，收到的证券独立于交易的结算周期。能够被交易对手使用的证券视为收到的证券。</w:t>
      </w:r>
    </w:p>
    <w:p>
      <w:pPr>
        <w:spacing w:line="480" w:lineRule="exact"/>
        <w:rPr>
          <w:rFonts w:ascii="仿宋_GB2312" w:hAnsi="仿宋" w:eastAsia="仿宋_GB2312" w:cs="仿宋"/>
          <w:b/>
          <w:sz w:val="30"/>
          <w:szCs w:val="30"/>
        </w:rPr>
      </w:pP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1"/>
        <w:szCs w:val="32"/>
      </w:rPr>
    </w:sdtEndPr>
    <w:sdtContent>
      <w:p>
        <w:pPr>
          <w:pStyle w:val="9"/>
          <w:jc w:val="center"/>
          <w:rPr>
            <w:rFonts w:ascii="宋体" w:hAnsi="宋体" w:eastAsia="宋体"/>
            <w:sz w:val="21"/>
            <w:szCs w:val="32"/>
          </w:rPr>
        </w:pPr>
        <w:r>
          <w:rPr>
            <w:rFonts w:ascii="宋体" w:hAnsi="宋体" w:eastAsia="宋体"/>
            <w:sz w:val="21"/>
            <w:szCs w:val="32"/>
          </w:rPr>
          <w:fldChar w:fldCharType="begin"/>
        </w:r>
        <w:r>
          <w:rPr>
            <w:rFonts w:ascii="宋体" w:hAnsi="宋体" w:eastAsia="宋体"/>
            <w:sz w:val="21"/>
            <w:szCs w:val="32"/>
          </w:rPr>
          <w:instrText xml:space="preserve">PAGE   \* MERGEFORMAT</w:instrText>
        </w:r>
        <w:r>
          <w:rPr>
            <w:rFonts w:ascii="宋体" w:hAnsi="宋体" w:eastAsia="宋体"/>
            <w:sz w:val="21"/>
            <w:szCs w:val="32"/>
          </w:rPr>
          <w:fldChar w:fldCharType="separate"/>
        </w:r>
        <w:r>
          <w:rPr>
            <w:rFonts w:ascii="宋体" w:hAnsi="宋体" w:eastAsia="宋体"/>
            <w:sz w:val="21"/>
            <w:szCs w:val="32"/>
            <w:lang w:val="zh-CN"/>
          </w:rPr>
          <w:t>1</w:t>
        </w:r>
        <w:r>
          <w:rPr>
            <w:rFonts w:ascii="宋体" w:hAnsi="宋体" w:eastAsia="宋体"/>
            <w:sz w:val="21"/>
            <w:szCs w:val="32"/>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69EBE"/>
    <w:multiLevelType w:val="singleLevel"/>
    <w:tmpl w:val="5D669EB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ODRiYzc2Y2I3NTRhOGM2MmIzZmJhODU1ZTk0ZmMifQ=="/>
  </w:docVars>
  <w:rsids>
    <w:rsidRoot w:val="3FED685E"/>
    <w:rsid w:val="00017F13"/>
    <w:rsid w:val="000227F5"/>
    <w:rsid w:val="0005013F"/>
    <w:rsid w:val="00052C90"/>
    <w:rsid w:val="00061527"/>
    <w:rsid w:val="00067888"/>
    <w:rsid w:val="000C7A8A"/>
    <w:rsid w:val="000D744A"/>
    <w:rsid w:val="000E3232"/>
    <w:rsid w:val="000F4FBA"/>
    <w:rsid w:val="00154602"/>
    <w:rsid w:val="00174B88"/>
    <w:rsid w:val="0019143C"/>
    <w:rsid w:val="001A05F9"/>
    <w:rsid w:val="001A686E"/>
    <w:rsid w:val="001B203C"/>
    <w:rsid w:val="001C2EBB"/>
    <w:rsid w:val="001C2F00"/>
    <w:rsid w:val="001E3177"/>
    <w:rsid w:val="002213E3"/>
    <w:rsid w:val="0023025E"/>
    <w:rsid w:val="002521FB"/>
    <w:rsid w:val="00253011"/>
    <w:rsid w:val="0029019D"/>
    <w:rsid w:val="0029722A"/>
    <w:rsid w:val="002B1209"/>
    <w:rsid w:val="002B2C74"/>
    <w:rsid w:val="002C7124"/>
    <w:rsid w:val="00301BEE"/>
    <w:rsid w:val="00302BF4"/>
    <w:rsid w:val="00323AB7"/>
    <w:rsid w:val="00331E6A"/>
    <w:rsid w:val="00337EB8"/>
    <w:rsid w:val="00350682"/>
    <w:rsid w:val="003C37E8"/>
    <w:rsid w:val="003D2596"/>
    <w:rsid w:val="003D5A1F"/>
    <w:rsid w:val="003E20C0"/>
    <w:rsid w:val="003F0EFF"/>
    <w:rsid w:val="003F2C44"/>
    <w:rsid w:val="00433C81"/>
    <w:rsid w:val="00434A50"/>
    <w:rsid w:val="00437C46"/>
    <w:rsid w:val="004663EB"/>
    <w:rsid w:val="004B1E89"/>
    <w:rsid w:val="004B21D8"/>
    <w:rsid w:val="004E5FD4"/>
    <w:rsid w:val="004F0BC8"/>
    <w:rsid w:val="00500118"/>
    <w:rsid w:val="00513625"/>
    <w:rsid w:val="005416E1"/>
    <w:rsid w:val="00555E71"/>
    <w:rsid w:val="00560953"/>
    <w:rsid w:val="00561634"/>
    <w:rsid w:val="00566892"/>
    <w:rsid w:val="005823D1"/>
    <w:rsid w:val="00583792"/>
    <w:rsid w:val="005A2BED"/>
    <w:rsid w:val="005C03E9"/>
    <w:rsid w:val="005D081F"/>
    <w:rsid w:val="005E085F"/>
    <w:rsid w:val="005F6CBB"/>
    <w:rsid w:val="0061330F"/>
    <w:rsid w:val="00635E79"/>
    <w:rsid w:val="00637BA0"/>
    <w:rsid w:val="00643180"/>
    <w:rsid w:val="00652278"/>
    <w:rsid w:val="00655D3A"/>
    <w:rsid w:val="00657842"/>
    <w:rsid w:val="00660F3C"/>
    <w:rsid w:val="006676C8"/>
    <w:rsid w:val="00681587"/>
    <w:rsid w:val="0069365F"/>
    <w:rsid w:val="006A47B4"/>
    <w:rsid w:val="006C2F70"/>
    <w:rsid w:val="006C7968"/>
    <w:rsid w:val="006D26D7"/>
    <w:rsid w:val="006D3CA9"/>
    <w:rsid w:val="006E7E6B"/>
    <w:rsid w:val="006F1E47"/>
    <w:rsid w:val="006F202C"/>
    <w:rsid w:val="006F2172"/>
    <w:rsid w:val="007058B4"/>
    <w:rsid w:val="00717B19"/>
    <w:rsid w:val="00735A2B"/>
    <w:rsid w:val="00737983"/>
    <w:rsid w:val="007573DC"/>
    <w:rsid w:val="007800A4"/>
    <w:rsid w:val="00791E98"/>
    <w:rsid w:val="007959F9"/>
    <w:rsid w:val="00796568"/>
    <w:rsid w:val="0079762F"/>
    <w:rsid w:val="007A2D62"/>
    <w:rsid w:val="007A7F7C"/>
    <w:rsid w:val="007C2944"/>
    <w:rsid w:val="00803FD6"/>
    <w:rsid w:val="0082184C"/>
    <w:rsid w:val="00840FF2"/>
    <w:rsid w:val="00875E8B"/>
    <w:rsid w:val="00881031"/>
    <w:rsid w:val="008954D9"/>
    <w:rsid w:val="008B1818"/>
    <w:rsid w:val="008C1917"/>
    <w:rsid w:val="008C1B89"/>
    <w:rsid w:val="008D18E0"/>
    <w:rsid w:val="00901BDA"/>
    <w:rsid w:val="009026E7"/>
    <w:rsid w:val="00905464"/>
    <w:rsid w:val="00910085"/>
    <w:rsid w:val="00916405"/>
    <w:rsid w:val="009555A8"/>
    <w:rsid w:val="00994EA7"/>
    <w:rsid w:val="009A5C77"/>
    <w:rsid w:val="009B58EE"/>
    <w:rsid w:val="009D3D8B"/>
    <w:rsid w:val="009E6726"/>
    <w:rsid w:val="009F73AE"/>
    <w:rsid w:val="009F73D0"/>
    <w:rsid w:val="00A0402A"/>
    <w:rsid w:val="00A275EA"/>
    <w:rsid w:val="00A32EA3"/>
    <w:rsid w:val="00A35A7E"/>
    <w:rsid w:val="00A653EA"/>
    <w:rsid w:val="00A65D50"/>
    <w:rsid w:val="00AA4100"/>
    <w:rsid w:val="00AA5294"/>
    <w:rsid w:val="00AA552C"/>
    <w:rsid w:val="00AB4846"/>
    <w:rsid w:val="00AC4EED"/>
    <w:rsid w:val="00AF6A71"/>
    <w:rsid w:val="00B01F62"/>
    <w:rsid w:val="00B054E0"/>
    <w:rsid w:val="00B14C22"/>
    <w:rsid w:val="00B172E8"/>
    <w:rsid w:val="00B33A99"/>
    <w:rsid w:val="00B428FB"/>
    <w:rsid w:val="00B51F7E"/>
    <w:rsid w:val="00B54D5D"/>
    <w:rsid w:val="00B56EEB"/>
    <w:rsid w:val="00B96AF4"/>
    <w:rsid w:val="00BA5963"/>
    <w:rsid w:val="00BB4D8E"/>
    <w:rsid w:val="00BC0692"/>
    <w:rsid w:val="00BC2789"/>
    <w:rsid w:val="00BE3AE2"/>
    <w:rsid w:val="00BE4553"/>
    <w:rsid w:val="00C03E11"/>
    <w:rsid w:val="00C04DE8"/>
    <w:rsid w:val="00C2587E"/>
    <w:rsid w:val="00C279D6"/>
    <w:rsid w:val="00C40008"/>
    <w:rsid w:val="00C521B7"/>
    <w:rsid w:val="00C53EFF"/>
    <w:rsid w:val="00C578B8"/>
    <w:rsid w:val="00C7357F"/>
    <w:rsid w:val="00CB5C8C"/>
    <w:rsid w:val="00CE7231"/>
    <w:rsid w:val="00CF6C46"/>
    <w:rsid w:val="00CF7251"/>
    <w:rsid w:val="00D003C1"/>
    <w:rsid w:val="00D2707D"/>
    <w:rsid w:val="00D4326A"/>
    <w:rsid w:val="00D45F20"/>
    <w:rsid w:val="00D46A96"/>
    <w:rsid w:val="00D50AE2"/>
    <w:rsid w:val="00D8290C"/>
    <w:rsid w:val="00D842FE"/>
    <w:rsid w:val="00D9664C"/>
    <w:rsid w:val="00D96B78"/>
    <w:rsid w:val="00DC0934"/>
    <w:rsid w:val="00DC16F5"/>
    <w:rsid w:val="00DC49EE"/>
    <w:rsid w:val="00DD1E3C"/>
    <w:rsid w:val="00DE2E30"/>
    <w:rsid w:val="00DE666A"/>
    <w:rsid w:val="00E20870"/>
    <w:rsid w:val="00E209BD"/>
    <w:rsid w:val="00E239F7"/>
    <w:rsid w:val="00E23AD4"/>
    <w:rsid w:val="00E44FC6"/>
    <w:rsid w:val="00E5276F"/>
    <w:rsid w:val="00EA7A29"/>
    <w:rsid w:val="00EB0668"/>
    <w:rsid w:val="00EB4B53"/>
    <w:rsid w:val="00EC5024"/>
    <w:rsid w:val="00EE6FC4"/>
    <w:rsid w:val="00F348DD"/>
    <w:rsid w:val="00F35B67"/>
    <w:rsid w:val="00F3765D"/>
    <w:rsid w:val="00F750AD"/>
    <w:rsid w:val="00F82863"/>
    <w:rsid w:val="00F968A0"/>
    <w:rsid w:val="00FA0FD4"/>
    <w:rsid w:val="00FC24E6"/>
    <w:rsid w:val="016C058D"/>
    <w:rsid w:val="01F11D16"/>
    <w:rsid w:val="025D7367"/>
    <w:rsid w:val="02A57FAC"/>
    <w:rsid w:val="038912D0"/>
    <w:rsid w:val="04334A19"/>
    <w:rsid w:val="046269F1"/>
    <w:rsid w:val="04B37CD6"/>
    <w:rsid w:val="04C00A75"/>
    <w:rsid w:val="05317A2B"/>
    <w:rsid w:val="05A80CE0"/>
    <w:rsid w:val="06C032AF"/>
    <w:rsid w:val="07C21CD7"/>
    <w:rsid w:val="07E6312F"/>
    <w:rsid w:val="08712565"/>
    <w:rsid w:val="0A3C34DB"/>
    <w:rsid w:val="0AA7274F"/>
    <w:rsid w:val="0AEA4645"/>
    <w:rsid w:val="0B420E39"/>
    <w:rsid w:val="0C0E33A1"/>
    <w:rsid w:val="0E2A5E46"/>
    <w:rsid w:val="0EF34057"/>
    <w:rsid w:val="100C25AE"/>
    <w:rsid w:val="108773EA"/>
    <w:rsid w:val="11203409"/>
    <w:rsid w:val="135B7AF4"/>
    <w:rsid w:val="139B57B2"/>
    <w:rsid w:val="13D4314D"/>
    <w:rsid w:val="13E26B99"/>
    <w:rsid w:val="147C4CE2"/>
    <w:rsid w:val="14D17782"/>
    <w:rsid w:val="15F9039E"/>
    <w:rsid w:val="16F22D77"/>
    <w:rsid w:val="170F6BD0"/>
    <w:rsid w:val="17A11EF1"/>
    <w:rsid w:val="17E27106"/>
    <w:rsid w:val="18157E25"/>
    <w:rsid w:val="1A834D21"/>
    <w:rsid w:val="1A864CA6"/>
    <w:rsid w:val="1AFD8DCD"/>
    <w:rsid w:val="1CB54522"/>
    <w:rsid w:val="1D2E24DD"/>
    <w:rsid w:val="1D6320F1"/>
    <w:rsid w:val="1E2E683C"/>
    <w:rsid w:val="1E865C9A"/>
    <w:rsid w:val="1EAF4610"/>
    <w:rsid w:val="1F1A24BC"/>
    <w:rsid w:val="1F8B504D"/>
    <w:rsid w:val="1FB359CE"/>
    <w:rsid w:val="20A2016B"/>
    <w:rsid w:val="20AD2782"/>
    <w:rsid w:val="21657B00"/>
    <w:rsid w:val="22205E16"/>
    <w:rsid w:val="228E34C8"/>
    <w:rsid w:val="23667D71"/>
    <w:rsid w:val="25690AC8"/>
    <w:rsid w:val="257E01E7"/>
    <w:rsid w:val="25A84A03"/>
    <w:rsid w:val="25DF4DD4"/>
    <w:rsid w:val="25FD2559"/>
    <w:rsid w:val="27245DB1"/>
    <w:rsid w:val="273511B2"/>
    <w:rsid w:val="275D29BB"/>
    <w:rsid w:val="27C61D5C"/>
    <w:rsid w:val="28115E29"/>
    <w:rsid w:val="285B2E27"/>
    <w:rsid w:val="28B93087"/>
    <w:rsid w:val="2A440CB4"/>
    <w:rsid w:val="2AE91BED"/>
    <w:rsid w:val="2C103DC3"/>
    <w:rsid w:val="2CF051B2"/>
    <w:rsid w:val="2D95797C"/>
    <w:rsid w:val="2DA873F6"/>
    <w:rsid w:val="2F271A62"/>
    <w:rsid w:val="2FB54301"/>
    <w:rsid w:val="30110FB9"/>
    <w:rsid w:val="310C4432"/>
    <w:rsid w:val="351D2FCA"/>
    <w:rsid w:val="353F09B0"/>
    <w:rsid w:val="35F82298"/>
    <w:rsid w:val="363D5B13"/>
    <w:rsid w:val="37724707"/>
    <w:rsid w:val="377D56A2"/>
    <w:rsid w:val="378872EB"/>
    <w:rsid w:val="382406CD"/>
    <w:rsid w:val="387A1ED7"/>
    <w:rsid w:val="38DD2559"/>
    <w:rsid w:val="396A2E12"/>
    <w:rsid w:val="39F93F48"/>
    <w:rsid w:val="3A645A76"/>
    <w:rsid w:val="3ABA0DBC"/>
    <w:rsid w:val="3AC46F51"/>
    <w:rsid w:val="3C1103B1"/>
    <w:rsid w:val="3D032146"/>
    <w:rsid w:val="3D047136"/>
    <w:rsid w:val="3EFF4248"/>
    <w:rsid w:val="3F871D5C"/>
    <w:rsid w:val="3FBE775E"/>
    <w:rsid w:val="3FBFC95D"/>
    <w:rsid w:val="3FED685E"/>
    <w:rsid w:val="40D87579"/>
    <w:rsid w:val="410542AD"/>
    <w:rsid w:val="411B5AFD"/>
    <w:rsid w:val="41254157"/>
    <w:rsid w:val="4245759C"/>
    <w:rsid w:val="42A37DD7"/>
    <w:rsid w:val="4378197E"/>
    <w:rsid w:val="439F23FD"/>
    <w:rsid w:val="447D438B"/>
    <w:rsid w:val="44D21976"/>
    <w:rsid w:val="45922508"/>
    <w:rsid w:val="45BA1DD6"/>
    <w:rsid w:val="474F0EE3"/>
    <w:rsid w:val="47CD399A"/>
    <w:rsid w:val="47EF3307"/>
    <w:rsid w:val="487A6A4D"/>
    <w:rsid w:val="49FB4129"/>
    <w:rsid w:val="4A2E522C"/>
    <w:rsid w:val="4D067C14"/>
    <w:rsid w:val="4D0723A2"/>
    <w:rsid w:val="4D09084D"/>
    <w:rsid w:val="4DD24857"/>
    <w:rsid w:val="4E0B565D"/>
    <w:rsid w:val="51C230F1"/>
    <w:rsid w:val="53350BB4"/>
    <w:rsid w:val="54AF0CDC"/>
    <w:rsid w:val="5552414F"/>
    <w:rsid w:val="55D14B53"/>
    <w:rsid w:val="5727723B"/>
    <w:rsid w:val="57EA0F6B"/>
    <w:rsid w:val="59A76D38"/>
    <w:rsid w:val="5A246EA9"/>
    <w:rsid w:val="5A875B88"/>
    <w:rsid w:val="5B246575"/>
    <w:rsid w:val="5B7F065A"/>
    <w:rsid w:val="5EA16B92"/>
    <w:rsid w:val="5FF39C98"/>
    <w:rsid w:val="604A4A27"/>
    <w:rsid w:val="61DF06A5"/>
    <w:rsid w:val="61E34FA8"/>
    <w:rsid w:val="62B12F8F"/>
    <w:rsid w:val="63646D55"/>
    <w:rsid w:val="63DE3017"/>
    <w:rsid w:val="65A438B1"/>
    <w:rsid w:val="664F6AC5"/>
    <w:rsid w:val="691B7F0E"/>
    <w:rsid w:val="6970599E"/>
    <w:rsid w:val="6B1A228F"/>
    <w:rsid w:val="6B2F123C"/>
    <w:rsid w:val="6D523B57"/>
    <w:rsid w:val="6D537124"/>
    <w:rsid w:val="6FB972A4"/>
    <w:rsid w:val="6FDD77FE"/>
    <w:rsid w:val="70E560BD"/>
    <w:rsid w:val="72B36B5A"/>
    <w:rsid w:val="72C95D4D"/>
    <w:rsid w:val="738070E6"/>
    <w:rsid w:val="754F0EB1"/>
    <w:rsid w:val="7664079C"/>
    <w:rsid w:val="76D627AB"/>
    <w:rsid w:val="770E021F"/>
    <w:rsid w:val="776D742C"/>
    <w:rsid w:val="778A41E8"/>
    <w:rsid w:val="77F7CE92"/>
    <w:rsid w:val="785B6240"/>
    <w:rsid w:val="78DF3BC6"/>
    <w:rsid w:val="79871334"/>
    <w:rsid w:val="79C417CE"/>
    <w:rsid w:val="7A9D1F38"/>
    <w:rsid w:val="7BC25A77"/>
    <w:rsid w:val="7C307D87"/>
    <w:rsid w:val="7C7985CE"/>
    <w:rsid w:val="7D3D25F6"/>
    <w:rsid w:val="7EA675FE"/>
    <w:rsid w:val="7EDD5AAB"/>
    <w:rsid w:val="7F414C70"/>
    <w:rsid w:val="7FBE099F"/>
    <w:rsid w:val="7FCF23D6"/>
    <w:rsid w:val="B7DF814E"/>
    <w:rsid w:val="EFFD9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21"/>
    <w:qFormat/>
    <w:uiPriority w:val="0"/>
    <w:pPr>
      <w:ind w:firstLine="0" w:firstLineChars="0"/>
      <w:jc w:val="center"/>
      <w:outlineLvl w:val="0"/>
    </w:pPr>
    <w:rPr>
      <w:sz w:val="44"/>
    </w:rPr>
  </w:style>
  <w:style w:type="paragraph" w:styleId="3">
    <w:name w:val="heading 2"/>
    <w:basedOn w:val="4"/>
    <w:next w:val="1"/>
    <w:link w:val="20"/>
    <w:qFormat/>
    <w:uiPriority w:val="0"/>
    <w:pPr>
      <w:outlineLvl w:val="1"/>
    </w:pPr>
  </w:style>
  <w:style w:type="paragraph" w:styleId="4">
    <w:name w:val="heading 3"/>
    <w:basedOn w:val="5"/>
    <w:next w:val="1"/>
    <w:link w:val="22"/>
    <w:qFormat/>
    <w:uiPriority w:val="0"/>
    <w:pPr>
      <w:ind w:left="0" w:leftChars="0" w:firstLine="600" w:firstLineChars="200"/>
      <w:jc w:val="left"/>
      <w:outlineLvl w:val="2"/>
    </w:pPr>
    <w:rPr>
      <w:rFonts w:ascii="黑体" w:hAnsi="黑体" w:eastAsia="黑体" w:cs="Times New Roman"/>
      <w:smallCaps/>
      <w:sz w:val="30"/>
      <w:szCs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2"/>
    <w:basedOn w:val="1"/>
    <w:next w:val="1"/>
    <w:qFormat/>
    <w:uiPriority w:val="0"/>
    <w:pPr>
      <w:ind w:left="420" w:leftChars="200"/>
    </w:pPr>
  </w:style>
  <w:style w:type="paragraph" w:styleId="6">
    <w:name w:val="annotation text"/>
    <w:basedOn w:val="1"/>
    <w:link w:val="29"/>
    <w:qFormat/>
    <w:uiPriority w:val="0"/>
    <w:pPr>
      <w:jc w:val="left"/>
    </w:pPr>
  </w:style>
  <w:style w:type="paragraph" w:styleId="7">
    <w:name w:val="Body Text"/>
    <w:basedOn w:val="1"/>
    <w:link w:val="18"/>
    <w:qFormat/>
    <w:uiPriority w:val="0"/>
    <w:pPr>
      <w:spacing w:after="120"/>
    </w:pPr>
  </w:style>
  <w:style w:type="paragraph" w:styleId="8">
    <w:name w:val="Balloon Text"/>
    <w:basedOn w:val="1"/>
    <w:link w:val="19"/>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itle"/>
    <w:basedOn w:val="7"/>
    <w:next w:val="1"/>
    <w:link w:val="17"/>
    <w:qFormat/>
    <w:uiPriority w:val="0"/>
    <w:pPr>
      <w:jc w:val="center"/>
    </w:pPr>
    <w:rPr>
      <w:rFonts w:ascii="仿宋_GB2312" w:hAnsi="仿宋" w:eastAsia="仿宋_GB2312" w:cs="Times New Roman"/>
    </w:rPr>
  </w:style>
  <w:style w:type="paragraph" w:styleId="13">
    <w:name w:val="annotation subject"/>
    <w:basedOn w:val="6"/>
    <w:next w:val="6"/>
    <w:link w:val="30"/>
    <w:qFormat/>
    <w:uiPriority w:val="0"/>
    <w:rPr>
      <w:b/>
      <w:bCs/>
    </w:rPr>
  </w:style>
  <w:style w:type="character" w:styleId="16">
    <w:name w:val="annotation reference"/>
    <w:basedOn w:val="15"/>
    <w:qFormat/>
    <w:uiPriority w:val="0"/>
    <w:rPr>
      <w:sz w:val="21"/>
      <w:szCs w:val="21"/>
    </w:rPr>
  </w:style>
  <w:style w:type="character" w:customStyle="1" w:styleId="17">
    <w:name w:val="标题 字符"/>
    <w:basedOn w:val="15"/>
    <w:link w:val="12"/>
    <w:qFormat/>
    <w:uiPriority w:val="0"/>
    <w:rPr>
      <w:rFonts w:ascii="仿宋_GB2312" w:hAnsi="仿宋" w:eastAsia="仿宋_GB2312" w:cs="Times New Roman"/>
      <w:kern w:val="2"/>
      <w:sz w:val="21"/>
      <w:szCs w:val="24"/>
    </w:rPr>
  </w:style>
  <w:style w:type="character" w:customStyle="1" w:styleId="18">
    <w:name w:val="正文文本 字符"/>
    <w:basedOn w:val="15"/>
    <w:link w:val="7"/>
    <w:qFormat/>
    <w:uiPriority w:val="0"/>
    <w:rPr>
      <w:kern w:val="2"/>
      <w:sz w:val="21"/>
      <w:szCs w:val="24"/>
    </w:rPr>
  </w:style>
  <w:style w:type="character" w:customStyle="1" w:styleId="19">
    <w:name w:val="批注框文本 字符"/>
    <w:basedOn w:val="15"/>
    <w:link w:val="8"/>
    <w:qFormat/>
    <w:uiPriority w:val="0"/>
    <w:rPr>
      <w:kern w:val="2"/>
      <w:sz w:val="18"/>
      <w:szCs w:val="18"/>
    </w:rPr>
  </w:style>
  <w:style w:type="character" w:customStyle="1" w:styleId="20">
    <w:name w:val="标题 2 字符"/>
    <w:basedOn w:val="15"/>
    <w:link w:val="3"/>
    <w:qFormat/>
    <w:uiPriority w:val="0"/>
    <w:rPr>
      <w:rFonts w:ascii="黑体" w:hAnsi="黑体" w:eastAsia="黑体" w:cs="Times New Roman"/>
      <w:smallCaps/>
      <w:kern w:val="2"/>
      <w:sz w:val="30"/>
      <w:szCs w:val="30"/>
    </w:rPr>
  </w:style>
  <w:style w:type="character" w:customStyle="1" w:styleId="21">
    <w:name w:val="标题 1 字符"/>
    <w:basedOn w:val="15"/>
    <w:link w:val="2"/>
    <w:qFormat/>
    <w:uiPriority w:val="0"/>
    <w:rPr>
      <w:rFonts w:ascii="黑体" w:hAnsi="黑体" w:eastAsia="黑体" w:cs="Times New Roman"/>
      <w:smallCaps/>
      <w:kern w:val="2"/>
      <w:sz w:val="44"/>
      <w:szCs w:val="30"/>
    </w:rPr>
  </w:style>
  <w:style w:type="character" w:customStyle="1" w:styleId="22">
    <w:name w:val="标题 3 字符"/>
    <w:basedOn w:val="15"/>
    <w:link w:val="4"/>
    <w:qFormat/>
    <w:uiPriority w:val="0"/>
    <w:rPr>
      <w:rFonts w:ascii="黑体" w:hAnsi="黑体" w:eastAsia="黑体" w:cs="Times New Roman"/>
      <w:smallCaps/>
      <w:kern w:val="2"/>
      <w:sz w:val="30"/>
      <w:szCs w:val="30"/>
    </w:rPr>
  </w:style>
  <w:style w:type="character" w:customStyle="1" w:styleId="23">
    <w:name w:val="占位符文本1"/>
    <w:basedOn w:val="15"/>
    <w:unhideWhenUsed/>
    <w:qFormat/>
    <w:uiPriority w:val="99"/>
    <w:rPr>
      <w:color w:val="808080"/>
    </w:rPr>
  </w:style>
  <w:style w:type="character" w:customStyle="1" w:styleId="24">
    <w:name w:val="页脚 字符"/>
    <w:basedOn w:val="15"/>
    <w:link w:val="9"/>
    <w:qFormat/>
    <w:uiPriority w:val="99"/>
    <w:rPr>
      <w:kern w:val="2"/>
      <w:sz w:val="18"/>
      <w:szCs w:val="24"/>
    </w:rPr>
  </w:style>
  <w:style w:type="paragraph" w:customStyle="1" w:styleId="2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styleId="28">
    <w:name w:val="Placeholder Text"/>
    <w:basedOn w:val="15"/>
    <w:semiHidden/>
    <w:qFormat/>
    <w:uiPriority w:val="99"/>
    <w:rPr>
      <w:color w:val="808080"/>
    </w:rPr>
  </w:style>
  <w:style w:type="character" w:customStyle="1" w:styleId="29">
    <w:name w:val="批注文字 字符"/>
    <w:basedOn w:val="15"/>
    <w:link w:val="6"/>
    <w:qFormat/>
    <w:uiPriority w:val="0"/>
    <w:rPr>
      <w:kern w:val="2"/>
      <w:sz w:val="21"/>
      <w:szCs w:val="24"/>
    </w:rPr>
  </w:style>
  <w:style w:type="character" w:customStyle="1" w:styleId="30">
    <w:name w:val="批注主题 字符"/>
    <w:basedOn w:val="29"/>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14397</Words>
  <Characters>14687</Characters>
  <Lines>111</Lines>
  <Paragraphs>31</Paragraphs>
  <TotalTime>19</TotalTime>
  <ScaleCrop>false</ScaleCrop>
  <LinksUpToDate>false</LinksUpToDate>
  <CharactersWithSpaces>14698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2021-12-22T17:18:00Z</dcterms:created>
  <dc:creator>Zhou He</dc:creator>
  <cp:lastModifiedBy>陈静</cp:lastModifiedBy>
  <dcterms:modified xsi:type="dcterms:W3CDTF">2023-11-01T04:37:40Z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5D631C3F0ED042799FE84B403FFDC063_13</vt:lpwstr>
  </property>
</Properties>
</file>