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2C" w:rsidRDefault="000F5E2C" w:rsidP="006C526F">
      <w:pPr>
        <w:ind w:firstLine="585"/>
        <w:jc w:val="center"/>
        <w:rPr>
          <w:rFonts w:ascii="华文中宋" w:eastAsia="华文中宋" w:hAnsi="华文中宋" w:cs="Times New Roman"/>
          <w:sz w:val="32"/>
          <w:szCs w:val="32"/>
        </w:rPr>
      </w:pPr>
    </w:p>
    <w:p w:rsidR="000F5E2C" w:rsidRPr="00F272C9" w:rsidRDefault="000F5E2C" w:rsidP="00241F33">
      <w:pPr>
        <w:jc w:val="center"/>
        <w:rPr>
          <w:rFonts w:ascii="华文中宋" w:eastAsia="华文中宋" w:hAnsi="华文中宋" w:cs="Times New Roman"/>
          <w:sz w:val="44"/>
          <w:szCs w:val="44"/>
        </w:rPr>
      </w:pPr>
      <w:r w:rsidRPr="00F272C9">
        <w:rPr>
          <w:rFonts w:ascii="华文中宋" w:eastAsia="华文中宋" w:hAnsi="华文中宋" w:cs="华文中宋" w:hint="eastAsia"/>
          <w:sz w:val="44"/>
          <w:szCs w:val="44"/>
        </w:rPr>
        <w:t>上海自贸试验区第七批金融创新案例基本情况</w:t>
      </w:r>
    </w:p>
    <w:p w:rsidR="000F5E2C" w:rsidRDefault="000F5E2C" w:rsidP="00241F33">
      <w:pPr>
        <w:spacing w:line="360" w:lineRule="auto"/>
        <w:jc w:val="center"/>
        <w:rPr>
          <w:rFonts w:ascii="楷体_GB2312" w:eastAsia="楷体_GB2312" w:hAnsi="宋体" w:cs="楷体_GB2312"/>
          <w:sz w:val="32"/>
          <w:szCs w:val="32"/>
        </w:rPr>
      </w:pPr>
      <w:r>
        <w:rPr>
          <w:rFonts w:ascii="楷体_GB2312" w:eastAsia="楷体_GB2312" w:hAnsi="宋体" w:cs="楷体_GB2312"/>
          <w:sz w:val="32"/>
          <w:szCs w:val="32"/>
        </w:rPr>
        <w:t>(2017</w:t>
      </w:r>
      <w:r>
        <w:rPr>
          <w:rFonts w:ascii="楷体_GB2312" w:eastAsia="楷体_GB2312" w:hAnsi="宋体" w:cs="楷体_GB2312" w:hint="eastAsia"/>
          <w:sz w:val="32"/>
          <w:szCs w:val="32"/>
        </w:rPr>
        <w:t>年</w:t>
      </w:r>
      <w:r>
        <w:rPr>
          <w:rFonts w:ascii="楷体_GB2312" w:eastAsia="楷体_GB2312" w:hAnsi="宋体" w:cs="楷体_GB2312"/>
          <w:sz w:val="32"/>
          <w:szCs w:val="32"/>
        </w:rPr>
        <w:t>1</w:t>
      </w:r>
      <w:r>
        <w:rPr>
          <w:rFonts w:ascii="楷体_GB2312" w:eastAsia="楷体_GB2312" w:hAnsi="宋体" w:cs="楷体_GB2312" w:hint="eastAsia"/>
          <w:sz w:val="32"/>
          <w:szCs w:val="32"/>
        </w:rPr>
        <w:t>月</w:t>
      </w:r>
      <w:r>
        <w:rPr>
          <w:rFonts w:ascii="楷体_GB2312" w:eastAsia="楷体_GB2312" w:hAnsi="宋体" w:cs="楷体_GB2312"/>
          <w:sz w:val="32"/>
          <w:szCs w:val="32"/>
        </w:rPr>
        <w:t>)</w:t>
      </w:r>
    </w:p>
    <w:tbl>
      <w:tblPr>
        <w:tblW w:w="16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0"/>
        <w:gridCol w:w="762"/>
        <w:gridCol w:w="1418"/>
        <w:gridCol w:w="4819"/>
        <w:gridCol w:w="4820"/>
        <w:gridCol w:w="3670"/>
      </w:tblGrid>
      <w:tr w:rsidR="000F5E2C" w:rsidRPr="00CF2FCB">
        <w:trPr>
          <w:trHeight w:val="78"/>
          <w:jc w:val="center"/>
        </w:trPr>
        <w:tc>
          <w:tcPr>
            <w:tcW w:w="700" w:type="dxa"/>
          </w:tcPr>
          <w:p w:rsidR="000F5E2C" w:rsidRPr="00CF2FCB"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tcPr>
          <w:p w:rsidR="000F5E2C" w:rsidRPr="00CF2FCB"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tcPr>
          <w:p w:rsidR="000F5E2C" w:rsidRPr="00CF2FCB"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tcPr>
          <w:p w:rsidR="000F5E2C" w:rsidRPr="00CF2FCB"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tcPr>
          <w:p w:rsidR="000F5E2C" w:rsidRPr="00CF2FCB"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tcPr>
          <w:p w:rsidR="000F5E2C" w:rsidRPr="00CF2FCB"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1</w:t>
            </w:r>
          </w:p>
        </w:tc>
        <w:tc>
          <w:tcPr>
            <w:tcW w:w="762" w:type="dxa"/>
            <w:vAlign w:val="center"/>
          </w:tcPr>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金融市场创新</w:t>
            </w: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tc>
        <w:tc>
          <w:tcPr>
            <w:tcW w:w="1418" w:type="dxa"/>
            <w:vAlign w:val="center"/>
          </w:tcPr>
          <w:p w:rsidR="000F5E2C" w:rsidRDefault="000F5E2C" w:rsidP="009C5AB4">
            <w:pPr>
              <w:jc w:val="left"/>
              <w:rPr>
                <w:rFonts w:ascii="宋体" w:cs="Times New Roman"/>
                <w:sz w:val="20"/>
                <w:szCs w:val="20"/>
              </w:rPr>
            </w:pPr>
            <w:r w:rsidRPr="003316D6">
              <w:rPr>
                <w:rFonts w:ascii="宋体" w:hAnsi="宋体" w:cs="宋体" w:hint="eastAsia"/>
                <w:sz w:val="20"/>
                <w:szCs w:val="20"/>
              </w:rPr>
              <w:t>上海证券交易所发行首批地方政府债</w:t>
            </w:r>
          </w:p>
          <w:p w:rsidR="000F5E2C" w:rsidRPr="003316D6" w:rsidRDefault="000F5E2C" w:rsidP="009C5AB4">
            <w:pPr>
              <w:jc w:val="left"/>
              <w:rPr>
                <w:rFonts w:ascii="宋体" w:cs="Times New Roman"/>
                <w:sz w:val="20"/>
                <w:szCs w:val="20"/>
              </w:rPr>
            </w:pPr>
          </w:p>
          <w:p w:rsidR="000F5E2C" w:rsidRPr="003316D6" w:rsidRDefault="000F5E2C" w:rsidP="009C5AB4">
            <w:pPr>
              <w:jc w:val="left"/>
              <w:rPr>
                <w:rFonts w:ascii="宋体" w:cs="Times New Roman"/>
                <w:sz w:val="20"/>
                <w:szCs w:val="20"/>
              </w:rPr>
            </w:pPr>
          </w:p>
        </w:tc>
        <w:tc>
          <w:tcPr>
            <w:tcW w:w="4819" w:type="dxa"/>
            <w:vAlign w:val="center"/>
          </w:tcPr>
          <w:p w:rsidR="000F5E2C" w:rsidRDefault="000F5E2C" w:rsidP="00E4632A">
            <w:pPr>
              <w:snapToGrid w:val="0"/>
              <w:rPr>
                <w:rFonts w:ascii="宋体" w:cs="Times New Roman"/>
                <w:sz w:val="20"/>
                <w:szCs w:val="20"/>
              </w:rPr>
            </w:pPr>
            <w:r w:rsidRPr="003316D6">
              <w:rPr>
                <w:rFonts w:ascii="宋体" w:hAnsi="宋体" w:cs="宋体" w:hint="eastAsia"/>
                <w:sz w:val="20"/>
                <w:szCs w:val="20"/>
              </w:rPr>
              <w:t>上海证券交易所（以下简称“上交所”）研发政府债券发行系统，并获财政部批复同意启用。</w:t>
            </w: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11</w:t>
            </w:r>
            <w:r w:rsidRPr="003316D6">
              <w:rPr>
                <w:rFonts w:ascii="宋体" w:hAnsi="宋体" w:cs="宋体" w:hint="eastAsia"/>
                <w:sz w:val="20"/>
                <w:szCs w:val="20"/>
              </w:rPr>
              <w:t>月</w:t>
            </w:r>
            <w:r w:rsidRPr="003316D6">
              <w:rPr>
                <w:rFonts w:ascii="宋体" w:hAnsi="宋体" w:cs="宋体"/>
                <w:sz w:val="20"/>
                <w:szCs w:val="20"/>
              </w:rPr>
              <w:t>11</w:t>
            </w:r>
            <w:r w:rsidRPr="003316D6">
              <w:rPr>
                <w:rFonts w:ascii="宋体" w:hAnsi="宋体" w:cs="宋体" w:hint="eastAsia"/>
                <w:sz w:val="20"/>
                <w:szCs w:val="20"/>
              </w:rPr>
              <w:t>日，上海市财政局通过该系统招标发行</w:t>
            </w:r>
            <w:r w:rsidRPr="003316D6">
              <w:rPr>
                <w:rFonts w:ascii="宋体" w:hAnsi="宋体" w:cs="宋体"/>
                <w:sz w:val="20"/>
                <w:szCs w:val="20"/>
              </w:rPr>
              <w:t>300</w:t>
            </w:r>
            <w:r w:rsidRPr="003316D6">
              <w:rPr>
                <w:rFonts w:ascii="宋体" w:hAnsi="宋体" w:cs="宋体" w:hint="eastAsia"/>
                <w:sz w:val="20"/>
                <w:szCs w:val="20"/>
              </w:rPr>
              <w:t>亿元地方债，分为</w:t>
            </w:r>
            <w:r w:rsidRPr="003316D6">
              <w:rPr>
                <w:rFonts w:ascii="宋体" w:hAnsi="宋体" w:cs="宋体"/>
                <w:sz w:val="20"/>
                <w:szCs w:val="20"/>
              </w:rPr>
              <w:t>3</w:t>
            </w:r>
            <w:r w:rsidRPr="003316D6">
              <w:rPr>
                <w:rFonts w:ascii="宋体" w:hAnsi="宋体" w:cs="宋体" w:hint="eastAsia"/>
                <w:sz w:val="20"/>
                <w:szCs w:val="20"/>
              </w:rPr>
              <w:t>年、</w:t>
            </w:r>
            <w:r w:rsidRPr="003316D6">
              <w:rPr>
                <w:rFonts w:ascii="宋体" w:hAnsi="宋体" w:cs="宋体"/>
                <w:sz w:val="20"/>
                <w:szCs w:val="20"/>
              </w:rPr>
              <w:t>5</w:t>
            </w:r>
            <w:r w:rsidRPr="003316D6">
              <w:rPr>
                <w:rFonts w:ascii="宋体" w:hAnsi="宋体" w:cs="宋体" w:hint="eastAsia"/>
                <w:sz w:val="20"/>
                <w:szCs w:val="20"/>
              </w:rPr>
              <w:t>年、</w:t>
            </w:r>
            <w:r w:rsidRPr="003316D6">
              <w:rPr>
                <w:rFonts w:ascii="宋体" w:hAnsi="宋体" w:cs="宋体"/>
                <w:sz w:val="20"/>
                <w:szCs w:val="20"/>
              </w:rPr>
              <w:t>7</w:t>
            </w:r>
            <w:r w:rsidRPr="003316D6">
              <w:rPr>
                <w:rFonts w:ascii="宋体" w:hAnsi="宋体" w:cs="宋体" w:hint="eastAsia"/>
                <w:sz w:val="20"/>
                <w:szCs w:val="20"/>
              </w:rPr>
              <w:t>年和</w:t>
            </w:r>
            <w:r w:rsidRPr="003316D6">
              <w:rPr>
                <w:rFonts w:ascii="宋体" w:hAnsi="宋体" w:cs="宋体"/>
                <w:sz w:val="20"/>
                <w:szCs w:val="20"/>
              </w:rPr>
              <w:t>10</w:t>
            </w:r>
            <w:r w:rsidRPr="003316D6">
              <w:rPr>
                <w:rFonts w:ascii="宋体" w:hAnsi="宋体" w:cs="宋体" w:hint="eastAsia"/>
                <w:sz w:val="20"/>
                <w:szCs w:val="20"/>
              </w:rPr>
              <w:t>年四个期限品种。这是该系统启用后在上交所招标发行的首批地方债，为地方债发行提供了新渠道。农业银行上海市分行作为债券主承销商之一，承销金额</w:t>
            </w:r>
            <w:r w:rsidRPr="003316D6">
              <w:rPr>
                <w:rFonts w:ascii="宋体" w:hAnsi="宋体" w:cs="宋体"/>
                <w:sz w:val="20"/>
                <w:szCs w:val="20"/>
              </w:rPr>
              <w:t>28.6</w:t>
            </w:r>
            <w:r w:rsidRPr="003316D6">
              <w:rPr>
                <w:rFonts w:ascii="宋体" w:hAnsi="宋体" w:cs="宋体" w:hint="eastAsia"/>
                <w:sz w:val="20"/>
                <w:szCs w:val="20"/>
              </w:rPr>
              <w:t>亿元，占比</w:t>
            </w:r>
            <w:r w:rsidRPr="003316D6">
              <w:rPr>
                <w:rFonts w:ascii="宋体" w:hAnsi="宋体" w:cs="宋体"/>
                <w:sz w:val="20"/>
                <w:szCs w:val="20"/>
              </w:rPr>
              <w:t>9.5%</w:t>
            </w:r>
            <w:r w:rsidRPr="003316D6">
              <w:rPr>
                <w:rFonts w:ascii="宋体" w:hAnsi="宋体" w:cs="宋体" w:hint="eastAsia"/>
                <w:sz w:val="20"/>
                <w:szCs w:val="20"/>
              </w:rPr>
              <w:t>，位居同业前列。</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4820" w:type="dxa"/>
            <w:vAlign w:val="center"/>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一是上交所政府债券发行系统，获财政部批复同意启用，并在北京、上海两地建立专用招标室，专门服务地方债发行，为后续地方债发行交易等提供重要平台。</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二是上交所政府债券发行系统在吸收现有系统特点的基础上，又对部分功能进行优化，支持荷兰式</w:t>
            </w:r>
            <w:r w:rsidRPr="003316D6">
              <w:rPr>
                <w:rFonts w:ascii="宋体" w:hAnsi="宋体" w:cs="宋体"/>
                <w:sz w:val="20"/>
                <w:szCs w:val="20"/>
              </w:rPr>
              <w:t>/</w:t>
            </w:r>
            <w:r w:rsidRPr="003316D6">
              <w:rPr>
                <w:rFonts w:ascii="宋体" w:hAnsi="宋体" w:cs="宋体" w:hint="eastAsia"/>
                <w:sz w:val="20"/>
                <w:szCs w:val="20"/>
              </w:rPr>
              <w:t>美国式</w:t>
            </w:r>
            <w:r w:rsidRPr="003316D6">
              <w:rPr>
                <w:rFonts w:ascii="宋体" w:hAnsi="宋体" w:cs="宋体"/>
                <w:sz w:val="20"/>
                <w:szCs w:val="20"/>
              </w:rPr>
              <w:t>/</w:t>
            </w:r>
            <w:r w:rsidRPr="003316D6">
              <w:rPr>
                <w:rFonts w:ascii="宋体" w:hAnsi="宋体" w:cs="宋体" w:hint="eastAsia"/>
                <w:sz w:val="20"/>
                <w:szCs w:val="20"/>
              </w:rPr>
              <w:t>混合式等多种招标方式，支持利率、价格和利差招标，具备招标发行、注册、分销等多种功能。</w:t>
            </w:r>
          </w:p>
          <w:p w:rsidR="000F5E2C" w:rsidRDefault="000F5E2C" w:rsidP="00E4632A">
            <w:pPr>
              <w:snapToGrid w:val="0"/>
              <w:rPr>
                <w:rFonts w:ascii="宋体" w:cs="Times New Roman"/>
                <w:sz w:val="20"/>
                <w:szCs w:val="20"/>
              </w:rPr>
            </w:pPr>
            <w:r w:rsidRPr="003316D6">
              <w:rPr>
                <w:rFonts w:ascii="宋体" w:hAnsi="宋体" w:cs="宋体" w:hint="eastAsia"/>
                <w:sz w:val="20"/>
                <w:szCs w:val="20"/>
              </w:rPr>
              <w:t>三是依托上交所投资者群体优势，此次发行券商类承销商中标占比达</w:t>
            </w:r>
            <w:r w:rsidRPr="003316D6">
              <w:rPr>
                <w:rFonts w:ascii="宋体" w:hAnsi="宋体" w:cs="宋体"/>
                <w:sz w:val="20"/>
                <w:szCs w:val="20"/>
              </w:rPr>
              <w:t>33%</w:t>
            </w:r>
            <w:r w:rsidRPr="003316D6">
              <w:rPr>
                <w:rFonts w:ascii="宋体" w:hAnsi="宋体" w:cs="宋体" w:hint="eastAsia"/>
                <w:sz w:val="20"/>
                <w:szCs w:val="20"/>
              </w:rPr>
              <w:t>，中标量合计</w:t>
            </w:r>
            <w:r w:rsidRPr="003316D6">
              <w:rPr>
                <w:rFonts w:ascii="宋体" w:hAnsi="宋体" w:cs="宋体"/>
                <w:sz w:val="20"/>
                <w:szCs w:val="20"/>
              </w:rPr>
              <w:t>99</w:t>
            </w:r>
            <w:r w:rsidRPr="003316D6">
              <w:rPr>
                <w:rFonts w:ascii="宋体" w:hAnsi="宋体" w:cs="宋体" w:hint="eastAsia"/>
                <w:sz w:val="20"/>
                <w:szCs w:val="20"/>
              </w:rPr>
              <w:t>亿元，优化了地方债投资者结构。</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3670" w:type="dxa"/>
            <w:vAlign w:val="center"/>
          </w:tcPr>
          <w:p w:rsidR="000F5E2C" w:rsidRPr="003316D6" w:rsidRDefault="000F5E2C" w:rsidP="00AB3A2F">
            <w:pPr>
              <w:snapToGrid w:val="0"/>
              <w:rPr>
                <w:rFonts w:ascii="宋体" w:cs="Times New Roman"/>
                <w:sz w:val="20"/>
                <w:szCs w:val="20"/>
              </w:rPr>
            </w:pPr>
            <w:r w:rsidRPr="003316D6">
              <w:rPr>
                <w:rFonts w:ascii="宋体" w:hAnsi="宋体" w:cs="宋体" w:hint="eastAsia"/>
                <w:sz w:val="20"/>
                <w:szCs w:val="20"/>
              </w:rPr>
              <w:t>一是有利于拓宽地方债市场发行渠道，优化地方债投资者结构，充分发挥交易所市场投资者群体多元化特点，吸引更多券商、保险、基金等金融机构和企业、个人投资者参与地方债投资。</w:t>
            </w:r>
          </w:p>
          <w:p w:rsidR="000F5E2C" w:rsidRPr="003316D6" w:rsidRDefault="000F5E2C" w:rsidP="00AB3A2F">
            <w:pPr>
              <w:snapToGrid w:val="0"/>
              <w:rPr>
                <w:rFonts w:ascii="宋体" w:cs="Times New Roman"/>
                <w:sz w:val="20"/>
                <w:szCs w:val="20"/>
              </w:rPr>
            </w:pPr>
            <w:r>
              <w:rPr>
                <w:rFonts w:ascii="宋体" w:hAnsi="宋体" w:cs="宋体" w:hint="eastAsia"/>
                <w:sz w:val="20"/>
                <w:szCs w:val="20"/>
              </w:rPr>
              <w:t>二</w:t>
            </w:r>
            <w:r w:rsidRPr="003316D6">
              <w:rPr>
                <w:rFonts w:ascii="宋体" w:hAnsi="宋体" w:cs="宋体" w:hint="eastAsia"/>
                <w:sz w:val="20"/>
                <w:szCs w:val="20"/>
              </w:rPr>
              <w:t>是有利于提高地方债流动性，发挥上交所市场交易结算机制灵活、质押式回购高效等优势，完善地方债收益率曲线，提高地方债吸引力。</w:t>
            </w:r>
          </w:p>
          <w:p w:rsidR="000F5E2C" w:rsidRDefault="000F5E2C" w:rsidP="00AB3A2F">
            <w:pPr>
              <w:snapToGrid w:val="0"/>
              <w:rPr>
                <w:rFonts w:ascii="宋体" w:cs="Times New Roman"/>
                <w:sz w:val="20"/>
                <w:szCs w:val="20"/>
              </w:rPr>
            </w:pPr>
            <w:r>
              <w:rPr>
                <w:rFonts w:ascii="宋体" w:hAnsi="宋体" w:cs="宋体" w:hint="eastAsia"/>
                <w:sz w:val="20"/>
                <w:szCs w:val="20"/>
              </w:rPr>
              <w:t>三</w:t>
            </w:r>
            <w:r w:rsidRPr="003316D6">
              <w:rPr>
                <w:rFonts w:ascii="宋体" w:hAnsi="宋体" w:cs="宋体" w:hint="eastAsia"/>
                <w:sz w:val="20"/>
                <w:szCs w:val="20"/>
              </w:rPr>
              <w:t>是有</w:t>
            </w:r>
            <w:r>
              <w:rPr>
                <w:rFonts w:ascii="宋体" w:hAnsi="宋体" w:cs="宋体" w:hint="eastAsia"/>
                <w:sz w:val="20"/>
                <w:szCs w:val="20"/>
              </w:rPr>
              <w:t>利</w:t>
            </w:r>
            <w:r w:rsidRPr="003316D6">
              <w:rPr>
                <w:rFonts w:ascii="宋体" w:hAnsi="宋体" w:cs="宋体" w:hint="eastAsia"/>
                <w:sz w:val="20"/>
                <w:szCs w:val="20"/>
              </w:rPr>
              <w:t>于优化交易所市场债券品种结构，进一步满足投资者对政府债券的投资需求，促进上交所债券市场发展</w:t>
            </w:r>
            <w:r>
              <w:rPr>
                <w:rFonts w:ascii="宋体" w:hAnsi="宋体" w:cs="宋体" w:hint="eastAsia"/>
                <w:sz w:val="20"/>
                <w:szCs w:val="20"/>
              </w:rPr>
              <w:t>。</w:t>
            </w:r>
          </w:p>
          <w:p w:rsidR="000F5E2C" w:rsidRDefault="000F5E2C" w:rsidP="00AB3A2F">
            <w:pPr>
              <w:snapToGrid w:val="0"/>
              <w:rPr>
                <w:rFonts w:ascii="宋体" w:cs="Times New Roman"/>
                <w:sz w:val="20"/>
                <w:szCs w:val="20"/>
              </w:rPr>
            </w:pPr>
          </w:p>
          <w:p w:rsidR="000F5E2C" w:rsidRDefault="000F5E2C" w:rsidP="00AB3A2F">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r>
      <w:tr w:rsidR="000F5E2C" w:rsidRPr="003316D6">
        <w:trPr>
          <w:trHeight w:val="78"/>
          <w:jc w:val="center"/>
        </w:trPr>
        <w:tc>
          <w:tcPr>
            <w:tcW w:w="700" w:type="dxa"/>
            <w:vAlign w:val="bottom"/>
          </w:tcPr>
          <w:p w:rsidR="000F5E2C" w:rsidRPr="00241F33"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vAlign w:val="bottom"/>
          </w:tcPr>
          <w:p w:rsidR="000F5E2C" w:rsidRPr="00241F33"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vAlign w:val="bottom"/>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vAlign w:val="bottom"/>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vAlign w:val="bottom"/>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vAlign w:val="bottom"/>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Pr="003316D6"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2</w:t>
            </w:r>
          </w:p>
        </w:tc>
        <w:tc>
          <w:tcPr>
            <w:tcW w:w="762" w:type="dxa"/>
            <w:vAlign w:val="center"/>
          </w:tcPr>
          <w:p w:rsidR="000F5E2C" w:rsidRPr="003316D6" w:rsidRDefault="000F5E2C" w:rsidP="003316D6">
            <w:pPr>
              <w:jc w:val="center"/>
              <w:rPr>
                <w:rFonts w:ascii="宋体" w:cs="Times New Roman"/>
                <w:sz w:val="20"/>
                <w:szCs w:val="20"/>
              </w:rPr>
            </w:pPr>
            <w:r w:rsidRPr="003316D6">
              <w:rPr>
                <w:rFonts w:ascii="宋体" w:hAnsi="宋体" w:cs="宋体" w:hint="eastAsia"/>
                <w:sz w:val="20"/>
                <w:szCs w:val="20"/>
              </w:rPr>
              <w:t>金融市场创新</w:t>
            </w:r>
          </w:p>
        </w:tc>
        <w:tc>
          <w:tcPr>
            <w:tcW w:w="1418" w:type="dxa"/>
            <w:vAlign w:val="center"/>
          </w:tcPr>
          <w:p w:rsidR="000F5E2C" w:rsidRPr="003316D6" w:rsidRDefault="000F5E2C" w:rsidP="009C5AB4">
            <w:pPr>
              <w:jc w:val="left"/>
              <w:rPr>
                <w:rFonts w:ascii="宋体" w:cs="Times New Roman"/>
                <w:sz w:val="20"/>
                <w:szCs w:val="20"/>
              </w:rPr>
            </w:pPr>
            <w:r w:rsidRPr="003316D6">
              <w:rPr>
                <w:rFonts w:ascii="宋体" w:hAnsi="宋体" w:cs="宋体" w:hint="eastAsia"/>
                <w:sz w:val="20"/>
                <w:szCs w:val="20"/>
              </w:rPr>
              <w:t>首只自贸区人民币地方政府债券发行</w:t>
            </w:r>
          </w:p>
        </w:tc>
        <w:tc>
          <w:tcPr>
            <w:tcW w:w="4819" w:type="dxa"/>
            <w:vAlign w:val="center"/>
          </w:tcPr>
          <w:p w:rsidR="000F5E2C" w:rsidRDefault="000F5E2C" w:rsidP="00E4632A">
            <w:pPr>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12</w:t>
            </w:r>
            <w:r w:rsidRPr="003316D6">
              <w:rPr>
                <w:rFonts w:ascii="宋体" w:hAnsi="宋体" w:cs="宋体" w:hint="eastAsia"/>
                <w:sz w:val="20"/>
                <w:szCs w:val="20"/>
              </w:rPr>
              <w:t>月</w:t>
            </w:r>
            <w:r w:rsidRPr="003316D6">
              <w:rPr>
                <w:rFonts w:ascii="宋体" w:hAnsi="宋体" w:cs="宋体"/>
                <w:sz w:val="20"/>
                <w:szCs w:val="20"/>
              </w:rPr>
              <w:t>8</w:t>
            </w:r>
            <w:r w:rsidRPr="003316D6">
              <w:rPr>
                <w:rFonts w:ascii="宋体" w:hAnsi="宋体" w:cs="宋体" w:hint="eastAsia"/>
                <w:sz w:val="20"/>
                <w:szCs w:val="20"/>
              </w:rPr>
              <w:t>日，上海市财政局在中央国债登记结算公司（以下简称“中央结算公司”）上海分公司，通过财政部政府债券发行系统，面向自贸试验区和境外机构投资者成功发行</w:t>
            </w:r>
            <w:r w:rsidRPr="003316D6">
              <w:rPr>
                <w:rFonts w:ascii="宋体" w:hAnsi="宋体" w:cs="宋体"/>
                <w:sz w:val="20"/>
                <w:szCs w:val="20"/>
              </w:rPr>
              <w:t>30</w:t>
            </w:r>
            <w:r w:rsidRPr="003316D6">
              <w:rPr>
                <w:rFonts w:ascii="宋体" w:hAnsi="宋体" w:cs="宋体" w:hint="eastAsia"/>
                <w:sz w:val="20"/>
                <w:szCs w:val="20"/>
              </w:rPr>
              <w:t>亿元地方政府债券，本次债券为记账式固定利率付息债券，期限</w:t>
            </w:r>
            <w:r w:rsidRPr="003316D6">
              <w:rPr>
                <w:rFonts w:ascii="宋体" w:hAnsi="宋体" w:cs="宋体"/>
                <w:sz w:val="20"/>
                <w:szCs w:val="20"/>
              </w:rPr>
              <w:t>3</w:t>
            </w:r>
            <w:r w:rsidRPr="003316D6">
              <w:rPr>
                <w:rFonts w:ascii="宋体" w:hAnsi="宋体" w:cs="宋体" w:hint="eastAsia"/>
                <w:sz w:val="20"/>
                <w:szCs w:val="20"/>
              </w:rPr>
              <w:t>年，区内及境外机构投资者认购踊跃，认购倍数达到</w:t>
            </w:r>
            <w:r w:rsidRPr="003316D6">
              <w:rPr>
                <w:rFonts w:ascii="宋体" w:hAnsi="宋体" w:cs="宋体"/>
                <w:sz w:val="20"/>
                <w:szCs w:val="20"/>
              </w:rPr>
              <w:t>2.78</w:t>
            </w:r>
            <w:r w:rsidRPr="003316D6">
              <w:rPr>
                <w:rFonts w:ascii="宋体" w:hAnsi="宋体" w:cs="宋体" w:hint="eastAsia"/>
                <w:sz w:val="20"/>
                <w:szCs w:val="20"/>
              </w:rPr>
              <w:t>倍，中标利率为</w:t>
            </w:r>
            <w:r w:rsidRPr="003316D6">
              <w:rPr>
                <w:rFonts w:ascii="宋体" w:hAnsi="宋体" w:cs="宋体"/>
                <w:sz w:val="20"/>
                <w:szCs w:val="20"/>
              </w:rPr>
              <w:t>2.85%</w:t>
            </w:r>
            <w:r w:rsidRPr="003316D6">
              <w:rPr>
                <w:rFonts w:ascii="宋体" w:hAnsi="宋体" w:cs="宋体" w:hint="eastAsia"/>
                <w:sz w:val="20"/>
                <w:szCs w:val="20"/>
              </w:rPr>
              <w:t>。中央结算公司作为登记托管结算机构，为本次债券发行提供现场业务技术支持以及后续登记、托管、结算、付息兑付、估值、信息披露等一体化服务。本次债券承销团由</w:t>
            </w:r>
            <w:r w:rsidRPr="003316D6">
              <w:rPr>
                <w:rFonts w:ascii="宋体" w:hAnsi="宋体" w:cs="宋体"/>
                <w:sz w:val="20"/>
                <w:szCs w:val="20"/>
              </w:rPr>
              <w:t>8</w:t>
            </w:r>
            <w:r w:rsidRPr="003316D6">
              <w:rPr>
                <w:rFonts w:ascii="宋体" w:hAnsi="宋体" w:cs="宋体" w:hint="eastAsia"/>
                <w:sz w:val="20"/>
                <w:szCs w:val="20"/>
              </w:rPr>
              <w:t>家主承销商和</w:t>
            </w:r>
            <w:r w:rsidRPr="003316D6">
              <w:rPr>
                <w:rFonts w:ascii="宋体" w:hAnsi="宋体" w:cs="宋体"/>
                <w:sz w:val="20"/>
                <w:szCs w:val="20"/>
              </w:rPr>
              <w:t>14</w:t>
            </w:r>
            <w:r w:rsidRPr="003316D6">
              <w:rPr>
                <w:rFonts w:ascii="宋体" w:hAnsi="宋体" w:cs="宋体" w:hint="eastAsia"/>
                <w:sz w:val="20"/>
                <w:szCs w:val="20"/>
              </w:rPr>
              <w:t>家一般成员组成，工商银行承销</w:t>
            </w:r>
            <w:r w:rsidRPr="003316D6">
              <w:rPr>
                <w:rFonts w:ascii="宋体" w:hAnsi="宋体" w:cs="宋体"/>
                <w:sz w:val="20"/>
                <w:szCs w:val="20"/>
              </w:rPr>
              <w:t>4.1</w:t>
            </w:r>
            <w:r w:rsidRPr="003316D6">
              <w:rPr>
                <w:rFonts w:ascii="宋体" w:hAnsi="宋体" w:cs="宋体" w:hint="eastAsia"/>
                <w:sz w:val="20"/>
                <w:szCs w:val="20"/>
              </w:rPr>
              <w:t>亿元，居承销商首位</w:t>
            </w:r>
            <w:r>
              <w:rPr>
                <w:rFonts w:ascii="宋体" w:hAnsi="宋体" w:cs="宋体" w:hint="eastAsia"/>
                <w:sz w:val="20"/>
                <w:szCs w:val="20"/>
              </w:rPr>
              <w:t>。</w:t>
            </w:r>
            <w:r w:rsidRPr="003316D6">
              <w:rPr>
                <w:rFonts w:ascii="宋体" w:hAnsi="宋体" w:cs="宋体" w:hint="eastAsia"/>
                <w:sz w:val="20"/>
                <w:szCs w:val="20"/>
              </w:rPr>
              <w:t>从分销情况看，中国银行等</w:t>
            </w:r>
            <w:r w:rsidRPr="003316D6">
              <w:rPr>
                <w:rFonts w:ascii="宋体" w:hAnsi="宋体" w:cs="宋体"/>
                <w:sz w:val="20"/>
                <w:szCs w:val="20"/>
              </w:rPr>
              <w:t>8</w:t>
            </w:r>
            <w:r w:rsidRPr="003316D6">
              <w:rPr>
                <w:rFonts w:ascii="宋体" w:hAnsi="宋体" w:cs="宋体" w:hint="eastAsia"/>
                <w:sz w:val="20"/>
                <w:szCs w:val="20"/>
              </w:rPr>
              <w:t>家金融机构向</w:t>
            </w:r>
            <w:r w:rsidRPr="003316D6">
              <w:rPr>
                <w:rFonts w:ascii="宋体" w:hAnsi="宋体" w:cs="宋体"/>
                <w:sz w:val="20"/>
                <w:szCs w:val="20"/>
              </w:rPr>
              <w:t>13</w:t>
            </w:r>
            <w:r w:rsidRPr="003316D6">
              <w:rPr>
                <w:rFonts w:ascii="宋体" w:hAnsi="宋体" w:cs="宋体" w:hint="eastAsia"/>
                <w:sz w:val="20"/>
                <w:szCs w:val="20"/>
              </w:rPr>
              <w:t>家区内及境外机构投资者共计分销</w:t>
            </w:r>
            <w:r w:rsidRPr="003316D6">
              <w:rPr>
                <w:rFonts w:ascii="宋体" w:hAnsi="宋体" w:cs="宋体"/>
                <w:sz w:val="20"/>
                <w:szCs w:val="20"/>
              </w:rPr>
              <w:t>8.2</w:t>
            </w:r>
            <w:r w:rsidRPr="003316D6">
              <w:rPr>
                <w:rFonts w:ascii="宋体" w:hAnsi="宋体" w:cs="宋体" w:hint="eastAsia"/>
                <w:sz w:val="20"/>
                <w:szCs w:val="20"/>
              </w:rPr>
              <w:t>亿元。</w:t>
            </w:r>
            <w:r w:rsidRPr="003316D6">
              <w:rPr>
                <w:rFonts w:ascii="宋体" w:hAnsi="宋体" w:cs="宋体"/>
                <w:sz w:val="20"/>
                <w:szCs w:val="20"/>
              </w:rPr>
              <w:t>12</w:t>
            </w:r>
            <w:r w:rsidRPr="003316D6">
              <w:rPr>
                <w:rFonts w:ascii="宋体" w:hAnsi="宋体" w:cs="宋体" w:hint="eastAsia"/>
                <w:sz w:val="20"/>
                <w:szCs w:val="20"/>
              </w:rPr>
              <w:t>月</w:t>
            </w:r>
            <w:r w:rsidRPr="003316D6">
              <w:rPr>
                <w:rFonts w:ascii="宋体" w:hAnsi="宋体" w:cs="宋体"/>
                <w:sz w:val="20"/>
                <w:szCs w:val="20"/>
              </w:rPr>
              <w:t>13</w:t>
            </w:r>
            <w:r w:rsidRPr="003316D6">
              <w:rPr>
                <w:rFonts w:ascii="宋体" w:hAnsi="宋体" w:cs="宋体" w:hint="eastAsia"/>
                <w:sz w:val="20"/>
                <w:szCs w:val="20"/>
              </w:rPr>
              <w:t>日，金砖国家新开发银行、工商银行上海市分行、浦发银行上海分行、国泰君安证券通过全国银行间同业拆借交易中心国际金融资产交易平台达成首批上海自贸区</w:t>
            </w:r>
            <w:r>
              <w:rPr>
                <w:rFonts w:ascii="宋体" w:hAnsi="宋体" w:cs="宋体" w:hint="eastAsia"/>
                <w:sz w:val="20"/>
                <w:szCs w:val="20"/>
              </w:rPr>
              <w:t>地方政府债券</w:t>
            </w:r>
            <w:r w:rsidRPr="003316D6">
              <w:rPr>
                <w:rFonts w:ascii="宋体" w:hAnsi="宋体" w:cs="宋体" w:hint="eastAsia"/>
                <w:sz w:val="20"/>
                <w:szCs w:val="20"/>
              </w:rPr>
              <w:t>交易。</w:t>
            </w:r>
          </w:p>
          <w:p w:rsidR="000F5E2C" w:rsidRPr="003316D6" w:rsidRDefault="000F5E2C" w:rsidP="00E4632A">
            <w:pPr>
              <w:snapToGrid w:val="0"/>
              <w:rPr>
                <w:rFonts w:ascii="宋体" w:cs="Times New Roman"/>
                <w:sz w:val="20"/>
                <w:szCs w:val="20"/>
              </w:rPr>
            </w:pPr>
          </w:p>
        </w:tc>
        <w:tc>
          <w:tcPr>
            <w:tcW w:w="4820" w:type="dxa"/>
            <w:vAlign w:val="center"/>
          </w:tcPr>
          <w:p w:rsidR="000F5E2C" w:rsidRDefault="000F5E2C" w:rsidP="00E4632A">
            <w:pPr>
              <w:snapToGrid w:val="0"/>
              <w:rPr>
                <w:rFonts w:ascii="宋体" w:cs="Times New Roman"/>
                <w:sz w:val="20"/>
                <w:szCs w:val="20"/>
              </w:rPr>
            </w:pPr>
            <w:r>
              <w:rPr>
                <w:rFonts w:ascii="宋体" w:hAnsi="宋体" w:cs="宋体" w:hint="eastAsia"/>
                <w:sz w:val="20"/>
                <w:szCs w:val="20"/>
              </w:rPr>
              <w:t>一是吸引境外投资人参与，扩大了地方债券投资主体</w:t>
            </w:r>
            <w:r w:rsidRPr="003316D6">
              <w:rPr>
                <w:rFonts w:ascii="宋体" w:hAnsi="宋体" w:cs="宋体" w:hint="eastAsia"/>
                <w:sz w:val="20"/>
                <w:szCs w:val="20"/>
              </w:rPr>
              <w:t>。本次地方债券投资主体包括已设立自贸区分账核算单元并经验收的境内机构、已开立自由贸易账户（</w:t>
            </w:r>
            <w:r w:rsidRPr="003316D6">
              <w:rPr>
                <w:rFonts w:ascii="宋体" w:hAnsi="宋体" w:cs="宋体"/>
                <w:sz w:val="20"/>
                <w:szCs w:val="20"/>
              </w:rPr>
              <w:t>FT</w:t>
            </w:r>
            <w:r w:rsidRPr="003316D6">
              <w:rPr>
                <w:rFonts w:ascii="宋体" w:hAnsi="宋体" w:cs="宋体" w:hint="eastAsia"/>
                <w:sz w:val="20"/>
                <w:szCs w:val="20"/>
              </w:rPr>
              <w:t>账户）的境内外机构、已开立境外机构人民币银行结算账户（</w:t>
            </w:r>
            <w:r w:rsidRPr="003316D6">
              <w:rPr>
                <w:rFonts w:ascii="宋体" w:hAnsi="宋体" w:cs="宋体"/>
                <w:sz w:val="20"/>
                <w:szCs w:val="20"/>
              </w:rPr>
              <w:t>NRA</w:t>
            </w:r>
            <w:r w:rsidRPr="003316D6">
              <w:rPr>
                <w:rFonts w:ascii="宋体" w:hAnsi="宋体" w:cs="宋体" w:hint="eastAsia"/>
                <w:sz w:val="20"/>
                <w:szCs w:val="20"/>
              </w:rPr>
              <w:t>账户）的境外机构以及其他符合条件的境外合格机构均可申请在中央结算公司开立债券账户并开通自贸区专用分组合，直接参与自贸区债券业务；境外机构也可通过结算代理人或合格境外证券托管机构参与自贸区债券业务。</w:t>
            </w:r>
          </w:p>
          <w:p w:rsidR="000F5E2C" w:rsidRDefault="000F5E2C" w:rsidP="00E4632A">
            <w:pPr>
              <w:snapToGrid w:val="0"/>
              <w:rPr>
                <w:rFonts w:ascii="宋体" w:cs="Times New Roman"/>
                <w:sz w:val="20"/>
                <w:szCs w:val="20"/>
              </w:rPr>
            </w:pPr>
            <w:r>
              <w:rPr>
                <w:rFonts w:ascii="宋体" w:cs="宋体" w:hint="eastAsia"/>
                <w:sz w:val="20"/>
                <w:szCs w:val="20"/>
              </w:rPr>
              <w:t>二是外资法人银行首次参与我国地方政府债券承销，</w:t>
            </w:r>
            <w:r w:rsidRPr="003316D6">
              <w:rPr>
                <w:rFonts w:ascii="宋体" w:hAnsi="宋体" w:cs="宋体" w:hint="eastAsia"/>
                <w:sz w:val="20"/>
                <w:szCs w:val="20"/>
              </w:rPr>
              <w:t>星展银行（中国）、汇丰银行（中国）</w:t>
            </w:r>
            <w:r>
              <w:rPr>
                <w:rFonts w:ascii="宋体" w:hAnsi="宋体" w:cs="宋体" w:hint="eastAsia"/>
                <w:sz w:val="20"/>
                <w:szCs w:val="20"/>
              </w:rPr>
              <w:t>和</w:t>
            </w:r>
            <w:r w:rsidRPr="003316D6">
              <w:rPr>
                <w:rFonts w:ascii="宋体" w:hAnsi="宋体" w:cs="宋体" w:hint="eastAsia"/>
                <w:sz w:val="20"/>
                <w:szCs w:val="20"/>
              </w:rPr>
              <w:t>渣打银行（中国）</w:t>
            </w:r>
            <w:r w:rsidRPr="003316D6">
              <w:rPr>
                <w:rFonts w:ascii="宋体" w:hAnsi="宋体" w:cs="宋体"/>
                <w:sz w:val="20"/>
                <w:szCs w:val="20"/>
              </w:rPr>
              <w:t>3</w:t>
            </w:r>
            <w:r w:rsidRPr="003316D6">
              <w:rPr>
                <w:rFonts w:ascii="宋体" w:hAnsi="宋体" w:cs="宋体" w:hint="eastAsia"/>
                <w:sz w:val="20"/>
                <w:szCs w:val="20"/>
              </w:rPr>
              <w:t>家外资</w:t>
            </w:r>
            <w:r>
              <w:rPr>
                <w:rFonts w:ascii="宋体" w:hAnsi="宋体" w:cs="宋体" w:hint="eastAsia"/>
                <w:sz w:val="20"/>
                <w:szCs w:val="20"/>
              </w:rPr>
              <w:t>银行</w:t>
            </w:r>
            <w:r w:rsidRPr="003316D6">
              <w:rPr>
                <w:rFonts w:ascii="宋体" w:hAnsi="宋体" w:cs="宋体" w:hint="eastAsia"/>
                <w:sz w:val="20"/>
                <w:szCs w:val="20"/>
              </w:rPr>
              <w:t>，合计承销</w:t>
            </w:r>
            <w:r w:rsidRPr="003316D6">
              <w:rPr>
                <w:rFonts w:ascii="宋体" w:hAnsi="宋体" w:cs="宋体"/>
                <w:sz w:val="20"/>
                <w:szCs w:val="20"/>
              </w:rPr>
              <w:t>1.8</w:t>
            </w:r>
            <w:r w:rsidRPr="003316D6">
              <w:rPr>
                <w:rFonts w:ascii="宋体" w:hAnsi="宋体" w:cs="宋体" w:hint="eastAsia"/>
                <w:sz w:val="20"/>
                <w:szCs w:val="20"/>
              </w:rPr>
              <w:t>亿元。</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876D3D"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3670" w:type="dxa"/>
            <w:vAlign w:val="center"/>
          </w:tcPr>
          <w:p w:rsidR="000F5E2C" w:rsidRDefault="000F5E2C" w:rsidP="00E4632A">
            <w:pPr>
              <w:snapToGrid w:val="0"/>
              <w:rPr>
                <w:rFonts w:ascii="宋体" w:cs="Times New Roman"/>
                <w:sz w:val="20"/>
                <w:szCs w:val="20"/>
              </w:rPr>
            </w:pPr>
            <w:r>
              <w:rPr>
                <w:rFonts w:ascii="宋体" w:hAnsi="宋体" w:cs="宋体" w:hint="eastAsia"/>
                <w:sz w:val="20"/>
                <w:szCs w:val="20"/>
              </w:rPr>
              <w:t>一是有利于拓宽地方债发行渠道，吸引外资金融机构参与地方债投资，促进地方债投资主体多元化。</w:t>
            </w:r>
          </w:p>
          <w:p w:rsidR="000F5E2C" w:rsidRDefault="000F5E2C" w:rsidP="00E4632A">
            <w:pPr>
              <w:snapToGrid w:val="0"/>
              <w:rPr>
                <w:rFonts w:ascii="宋体" w:cs="Times New Roman"/>
                <w:sz w:val="20"/>
                <w:szCs w:val="20"/>
              </w:rPr>
            </w:pPr>
            <w:r>
              <w:rPr>
                <w:rFonts w:ascii="宋体" w:hAnsi="宋体" w:cs="宋体" w:hint="eastAsia"/>
                <w:sz w:val="20"/>
                <w:szCs w:val="20"/>
              </w:rPr>
              <w:t>二是有利于丰富自贸试验区优质人民币资产品种，吸引境内外机构开立自由贸易账户，增强自贸试验区金融市场对区内及境外投资者的吸引力。</w:t>
            </w:r>
          </w:p>
          <w:p w:rsidR="000F5E2C" w:rsidRDefault="000F5E2C" w:rsidP="00E4632A">
            <w:pPr>
              <w:snapToGrid w:val="0"/>
              <w:rPr>
                <w:rFonts w:ascii="宋体" w:cs="Times New Roman"/>
                <w:sz w:val="20"/>
                <w:szCs w:val="20"/>
              </w:rPr>
            </w:pPr>
            <w:r>
              <w:rPr>
                <w:rFonts w:ascii="宋体" w:hAnsi="宋体" w:cs="宋体" w:hint="eastAsia"/>
                <w:sz w:val="20"/>
                <w:szCs w:val="20"/>
              </w:rPr>
              <w:t>三是有利于拓宽境外人民币投资回流渠道，</w:t>
            </w:r>
            <w:r w:rsidRPr="003316D6">
              <w:rPr>
                <w:rFonts w:ascii="宋体" w:hAnsi="宋体" w:cs="宋体" w:hint="eastAsia"/>
                <w:sz w:val="20"/>
                <w:szCs w:val="20"/>
              </w:rPr>
              <w:t>在人民币加入</w:t>
            </w:r>
            <w:r w:rsidRPr="00876D3D">
              <w:rPr>
                <w:rFonts w:ascii="Times New Roman" w:hAnsi="Times New Roman" w:cs="Times New Roman"/>
                <w:sz w:val="20"/>
                <w:szCs w:val="20"/>
              </w:rPr>
              <w:t>SDR</w:t>
            </w:r>
            <w:r w:rsidRPr="003316D6">
              <w:rPr>
                <w:rFonts w:ascii="宋体" w:hAnsi="宋体" w:cs="宋体" w:hint="eastAsia"/>
                <w:sz w:val="20"/>
                <w:szCs w:val="20"/>
              </w:rPr>
              <w:t>的背景下，满足境外投资者增持人民币资产的现实需求</w:t>
            </w:r>
            <w:r>
              <w:rPr>
                <w:rFonts w:ascii="宋体" w:hAnsi="宋体" w:cs="宋体" w:hint="eastAsia"/>
                <w:sz w:val="20"/>
                <w:szCs w:val="20"/>
              </w:rPr>
              <w:t>，助推人民币国际化进程。</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r>
      <w:tr w:rsidR="000F5E2C" w:rsidRPr="003316D6">
        <w:trPr>
          <w:trHeight w:val="78"/>
          <w:jc w:val="center"/>
        </w:trPr>
        <w:tc>
          <w:tcPr>
            <w:tcW w:w="700" w:type="dxa"/>
          </w:tcPr>
          <w:p w:rsidR="000F5E2C" w:rsidRPr="003316D6"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3</w:t>
            </w:r>
          </w:p>
        </w:tc>
        <w:tc>
          <w:tcPr>
            <w:tcW w:w="762" w:type="dxa"/>
            <w:vAlign w:val="center"/>
          </w:tcPr>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金融市场创新</w:t>
            </w:r>
          </w:p>
          <w:p w:rsidR="000F5E2C" w:rsidRPr="003316D6" w:rsidRDefault="000F5E2C" w:rsidP="009C5AB4">
            <w:pPr>
              <w:jc w:val="center"/>
              <w:rPr>
                <w:rFonts w:ascii="宋体" w:cs="Times New Roman"/>
                <w:sz w:val="20"/>
                <w:szCs w:val="20"/>
              </w:rPr>
            </w:pPr>
          </w:p>
        </w:tc>
        <w:tc>
          <w:tcPr>
            <w:tcW w:w="1418" w:type="dxa"/>
            <w:vAlign w:val="center"/>
          </w:tcPr>
          <w:p w:rsidR="000F5E2C" w:rsidRPr="003316D6" w:rsidRDefault="000F5E2C" w:rsidP="003316D6">
            <w:pPr>
              <w:jc w:val="left"/>
              <w:rPr>
                <w:rFonts w:ascii="宋体" w:cs="Times New Roman"/>
                <w:sz w:val="20"/>
                <w:szCs w:val="20"/>
              </w:rPr>
            </w:pPr>
            <w:r w:rsidRPr="003316D6">
              <w:rPr>
                <w:rFonts w:ascii="宋体" w:hAnsi="宋体" w:cs="宋体" w:hint="eastAsia"/>
                <w:sz w:val="20"/>
                <w:szCs w:val="20"/>
              </w:rPr>
              <w:t>金砖国家新开发银行发行人民币绿色金融债券</w:t>
            </w:r>
          </w:p>
        </w:tc>
        <w:tc>
          <w:tcPr>
            <w:tcW w:w="4819" w:type="dxa"/>
            <w:vAlign w:val="center"/>
          </w:tcPr>
          <w:p w:rsidR="000F5E2C" w:rsidRPr="003316D6" w:rsidRDefault="000F5E2C" w:rsidP="00E4632A">
            <w:pPr>
              <w:widowControl/>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7</w:t>
            </w:r>
            <w:r w:rsidRPr="003316D6">
              <w:rPr>
                <w:rFonts w:ascii="宋体" w:hAnsi="宋体" w:cs="宋体" w:hint="eastAsia"/>
                <w:sz w:val="20"/>
                <w:szCs w:val="20"/>
              </w:rPr>
              <w:t>月，金砖国家新开发银行（以下简称“金砖银行”）在银行间市场成功发行总额</w:t>
            </w:r>
            <w:r w:rsidRPr="003316D6">
              <w:rPr>
                <w:rFonts w:ascii="宋体" w:hAnsi="宋体" w:cs="宋体"/>
                <w:sz w:val="20"/>
                <w:szCs w:val="20"/>
              </w:rPr>
              <w:t>30</w:t>
            </w:r>
            <w:r w:rsidRPr="003316D6">
              <w:rPr>
                <w:rFonts w:ascii="宋体" w:hAnsi="宋体" w:cs="宋体" w:hint="eastAsia"/>
                <w:sz w:val="20"/>
                <w:szCs w:val="20"/>
              </w:rPr>
              <w:t>亿元，期限</w:t>
            </w:r>
            <w:r w:rsidRPr="003316D6">
              <w:rPr>
                <w:rFonts w:ascii="宋体" w:hAnsi="宋体" w:cs="宋体"/>
                <w:sz w:val="20"/>
                <w:szCs w:val="20"/>
              </w:rPr>
              <w:t>5</w:t>
            </w:r>
            <w:r w:rsidRPr="003316D6">
              <w:rPr>
                <w:rFonts w:ascii="宋体" w:hAnsi="宋体" w:cs="宋体" w:hint="eastAsia"/>
                <w:sz w:val="20"/>
                <w:szCs w:val="20"/>
              </w:rPr>
              <w:t>年的人民币绿色金融债券。本次债券发行由</w:t>
            </w:r>
            <w:hyperlink r:id="rId6" w:tgtFrame="_blank" w:history="1">
              <w:r w:rsidRPr="003316D6">
                <w:rPr>
                  <w:rFonts w:ascii="宋体" w:hAnsi="宋体" w:cs="宋体" w:hint="eastAsia"/>
                  <w:sz w:val="20"/>
                  <w:szCs w:val="20"/>
                </w:rPr>
                <w:t>中国银行</w:t>
              </w:r>
            </w:hyperlink>
            <w:r w:rsidRPr="003316D6">
              <w:rPr>
                <w:rFonts w:ascii="宋体" w:hAnsi="宋体" w:cs="宋体" w:hint="eastAsia"/>
                <w:sz w:val="20"/>
                <w:szCs w:val="20"/>
              </w:rPr>
              <w:t>担任牵头主承销商和簿记管理人，并为金砖银行办理了美元兑离岸人民币</w:t>
            </w:r>
            <w:r w:rsidRPr="003316D6">
              <w:rPr>
                <w:rFonts w:ascii="宋体" w:hAnsi="宋体" w:cs="宋体"/>
                <w:sz w:val="20"/>
                <w:szCs w:val="20"/>
              </w:rPr>
              <w:t>CCS</w:t>
            </w:r>
            <w:r w:rsidRPr="003316D6">
              <w:rPr>
                <w:rFonts w:ascii="宋体" w:hAnsi="宋体" w:cs="宋体" w:hint="eastAsia"/>
                <w:sz w:val="20"/>
                <w:szCs w:val="20"/>
              </w:rPr>
              <w:t>（债务保值交易）业务，</w:t>
            </w:r>
            <w:r>
              <w:rPr>
                <w:rFonts w:ascii="宋体" w:hAnsi="宋体" w:cs="宋体" w:hint="eastAsia"/>
                <w:sz w:val="20"/>
                <w:szCs w:val="20"/>
              </w:rPr>
              <w:t>这</w:t>
            </w:r>
            <w:r w:rsidRPr="003316D6">
              <w:rPr>
                <w:rFonts w:ascii="宋体" w:hAnsi="宋体" w:cs="宋体" w:hint="eastAsia"/>
                <w:sz w:val="20"/>
                <w:szCs w:val="20"/>
              </w:rPr>
              <w:t>是该国际金融组织首次通过自由贸易账户达成的</w:t>
            </w:r>
            <w:r w:rsidRPr="003316D6">
              <w:rPr>
                <w:rFonts w:ascii="宋体" w:hAnsi="宋体" w:cs="宋体"/>
                <w:sz w:val="20"/>
                <w:szCs w:val="20"/>
              </w:rPr>
              <w:t>CCS</w:t>
            </w:r>
            <w:r w:rsidRPr="003316D6">
              <w:rPr>
                <w:rFonts w:ascii="宋体" w:hAnsi="宋体" w:cs="宋体" w:hint="eastAsia"/>
                <w:sz w:val="20"/>
                <w:szCs w:val="20"/>
              </w:rPr>
              <w:t>业务。</w:t>
            </w: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Pr="003316D6" w:rsidRDefault="000F5E2C" w:rsidP="00E4632A">
            <w:pPr>
              <w:widowControl/>
              <w:snapToGrid w:val="0"/>
              <w:rPr>
                <w:rFonts w:ascii="宋体" w:cs="Times New Roman"/>
                <w:sz w:val="20"/>
                <w:szCs w:val="20"/>
              </w:rPr>
            </w:pPr>
          </w:p>
        </w:tc>
        <w:tc>
          <w:tcPr>
            <w:tcW w:w="4820" w:type="dxa"/>
            <w:vAlign w:val="center"/>
          </w:tcPr>
          <w:p w:rsidR="000F5E2C" w:rsidRPr="003316D6" w:rsidRDefault="000F5E2C" w:rsidP="00E4632A">
            <w:pPr>
              <w:widowControl/>
              <w:snapToGrid w:val="0"/>
              <w:rPr>
                <w:rFonts w:ascii="宋体" w:cs="Times New Roman"/>
                <w:sz w:val="20"/>
                <w:szCs w:val="20"/>
              </w:rPr>
            </w:pPr>
            <w:r w:rsidRPr="003316D6">
              <w:rPr>
                <w:rFonts w:ascii="宋体" w:hAnsi="宋体" w:cs="宋体" w:hint="eastAsia"/>
                <w:sz w:val="20"/>
                <w:szCs w:val="20"/>
              </w:rPr>
              <w:t>一是首只由总部设在中国的国际金融机构发行的绿色金融债券，也是时隔</w:t>
            </w:r>
            <w:r w:rsidRPr="003316D6">
              <w:rPr>
                <w:rFonts w:ascii="宋体" w:hAnsi="宋体" w:cs="宋体"/>
                <w:sz w:val="20"/>
                <w:szCs w:val="20"/>
              </w:rPr>
              <w:t>7</w:t>
            </w:r>
            <w:r w:rsidRPr="003316D6">
              <w:rPr>
                <w:rFonts w:ascii="宋体" w:hAnsi="宋体" w:cs="宋体" w:hint="eastAsia"/>
                <w:sz w:val="20"/>
                <w:szCs w:val="20"/>
              </w:rPr>
              <w:t>年后重启国际金融机构在中国发行人民币债券。</w:t>
            </w:r>
          </w:p>
          <w:p w:rsidR="000F5E2C" w:rsidRDefault="000F5E2C" w:rsidP="00E4632A">
            <w:pPr>
              <w:widowControl/>
              <w:snapToGrid w:val="0"/>
              <w:rPr>
                <w:rFonts w:ascii="宋体" w:cs="Times New Roman"/>
                <w:sz w:val="20"/>
                <w:szCs w:val="20"/>
              </w:rPr>
            </w:pPr>
            <w:r w:rsidRPr="003316D6">
              <w:rPr>
                <w:rFonts w:ascii="宋体" w:hAnsi="宋体" w:cs="宋体" w:hint="eastAsia"/>
                <w:sz w:val="20"/>
                <w:szCs w:val="20"/>
              </w:rPr>
              <w:t>二是债券募集资金主要用于支持巴西、中国、印度和南非的四个绿色可再生能源项目，体现了金砖银行致力于推动金砖国家基础设施和可持续发展环保项目，以及对推动全球绿色经济增长与发展的贡献。</w:t>
            </w: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Pr="003316D6" w:rsidRDefault="000F5E2C" w:rsidP="00E4632A">
            <w:pPr>
              <w:widowControl/>
              <w:snapToGrid w:val="0"/>
              <w:rPr>
                <w:rFonts w:ascii="宋体" w:cs="Times New Roman"/>
                <w:sz w:val="20"/>
                <w:szCs w:val="20"/>
              </w:rPr>
            </w:pPr>
          </w:p>
          <w:p w:rsidR="000F5E2C" w:rsidRPr="003316D6" w:rsidRDefault="000F5E2C" w:rsidP="00E4632A">
            <w:pPr>
              <w:widowControl/>
              <w:snapToGrid w:val="0"/>
              <w:rPr>
                <w:rFonts w:ascii="宋体" w:cs="Times New Roman"/>
                <w:sz w:val="20"/>
                <w:szCs w:val="20"/>
              </w:rPr>
            </w:pPr>
          </w:p>
        </w:tc>
        <w:tc>
          <w:tcPr>
            <w:tcW w:w="3670" w:type="dxa"/>
            <w:vAlign w:val="center"/>
          </w:tcPr>
          <w:p w:rsidR="000F5E2C" w:rsidRPr="003316D6" w:rsidRDefault="000F5E2C" w:rsidP="00E4632A">
            <w:pPr>
              <w:widowControl/>
              <w:snapToGrid w:val="0"/>
              <w:rPr>
                <w:rFonts w:ascii="宋体" w:cs="Times New Roman"/>
                <w:sz w:val="20"/>
                <w:szCs w:val="20"/>
              </w:rPr>
            </w:pPr>
            <w:r w:rsidRPr="003316D6">
              <w:rPr>
                <w:rFonts w:ascii="宋体" w:hAnsi="宋体" w:cs="宋体" w:hint="eastAsia"/>
                <w:sz w:val="20"/>
                <w:szCs w:val="20"/>
              </w:rPr>
              <w:t>一是有利于人民币债券市场发展</w:t>
            </w:r>
            <w:r>
              <w:rPr>
                <w:rFonts w:ascii="宋体" w:hAnsi="宋体" w:cs="宋体" w:hint="eastAsia"/>
                <w:sz w:val="20"/>
                <w:szCs w:val="20"/>
              </w:rPr>
              <w:t>，</w:t>
            </w:r>
            <w:r w:rsidRPr="003316D6">
              <w:rPr>
                <w:rFonts w:ascii="宋体" w:hAnsi="宋体" w:cs="宋体" w:hint="eastAsia"/>
                <w:sz w:val="20"/>
                <w:szCs w:val="20"/>
              </w:rPr>
              <w:t>债券发行以人民币计价，表明了国际机构对人民币国际化的信心及对“熊猫债”市场的</w:t>
            </w:r>
            <w:r>
              <w:rPr>
                <w:rFonts w:ascii="宋体" w:hAnsi="宋体" w:cs="宋体" w:hint="eastAsia"/>
                <w:sz w:val="20"/>
                <w:szCs w:val="20"/>
              </w:rPr>
              <w:t>认可，将为其他国际性及地区性金融组织发行人民币债券产生借鉴意义</w:t>
            </w:r>
            <w:r w:rsidRPr="003316D6">
              <w:rPr>
                <w:rFonts w:ascii="宋体" w:hAnsi="宋体" w:cs="宋体" w:hint="eastAsia"/>
                <w:sz w:val="20"/>
                <w:szCs w:val="20"/>
              </w:rPr>
              <w:t>。</w:t>
            </w:r>
          </w:p>
          <w:p w:rsidR="000F5E2C" w:rsidRDefault="000F5E2C" w:rsidP="00E4632A">
            <w:pPr>
              <w:widowControl/>
              <w:snapToGrid w:val="0"/>
              <w:rPr>
                <w:rFonts w:ascii="宋体" w:cs="Times New Roman"/>
                <w:sz w:val="20"/>
                <w:szCs w:val="20"/>
              </w:rPr>
            </w:pPr>
            <w:r w:rsidRPr="003316D6">
              <w:rPr>
                <w:rFonts w:ascii="宋体" w:hAnsi="宋体" w:cs="宋体" w:hint="eastAsia"/>
                <w:sz w:val="20"/>
                <w:szCs w:val="20"/>
              </w:rPr>
              <w:t>二是</w:t>
            </w:r>
            <w:r>
              <w:rPr>
                <w:rFonts w:ascii="宋体" w:hAnsi="宋体" w:cs="宋体" w:hint="eastAsia"/>
                <w:sz w:val="20"/>
                <w:szCs w:val="20"/>
              </w:rPr>
              <w:t>有利于促进中资银行经营国际化，</w:t>
            </w:r>
            <w:r w:rsidRPr="003316D6">
              <w:rPr>
                <w:rFonts w:ascii="宋体" w:hAnsi="宋体" w:cs="宋体" w:hint="eastAsia"/>
                <w:sz w:val="20"/>
                <w:szCs w:val="20"/>
              </w:rPr>
              <w:t>中资银行依托自贸试验区平台及境内外联动综合优势，为金砖银行提供本次发债承销及募集资金交易等一揽子综合金融服务，为</w:t>
            </w:r>
            <w:r>
              <w:rPr>
                <w:rFonts w:ascii="宋体" w:hAnsi="宋体" w:cs="宋体" w:hint="eastAsia"/>
                <w:sz w:val="20"/>
                <w:szCs w:val="20"/>
              </w:rPr>
              <w:t>中资</w:t>
            </w:r>
            <w:r w:rsidRPr="003316D6">
              <w:rPr>
                <w:rFonts w:ascii="宋体" w:hAnsi="宋体" w:cs="宋体" w:hint="eastAsia"/>
                <w:sz w:val="20"/>
                <w:szCs w:val="20"/>
              </w:rPr>
              <w:t>银行服务国际金融组织积累了经验。</w:t>
            </w:r>
          </w:p>
          <w:p w:rsidR="000F5E2C" w:rsidRPr="003316D6" w:rsidRDefault="000F5E2C" w:rsidP="00E4632A">
            <w:pPr>
              <w:widowControl/>
              <w:snapToGrid w:val="0"/>
              <w:rPr>
                <w:rFonts w:ascii="宋体" w:cs="Times New Roman"/>
                <w:sz w:val="20"/>
                <w:szCs w:val="20"/>
              </w:rPr>
            </w:pPr>
          </w:p>
        </w:tc>
      </w:tr>
      <w:tr w:rsidR="000F5E2C" w:rsidRPr="003316D6">
        <w:trPr>
          <w:trHeight w:val="78"/>
          <w:jc w:val="center"/>
        </w:trPr>
        <w:tc>
          <w:tcPr>
            <w:tcW w:w="700" w:type="dxa"/>
          </w:tcPr>
          <w:p w:rsidR="000F5E2C" w:rsidRPr="00241F33"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tcPr>
          <w:p w:rsidR="000F5E2C" w:rsidRPr="00241F33"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4</w:t>
            </w:r>
          </w:p>
        </w:tc>
        <w:tc>
          <w:tcPr>
            <w:tcW w:w="762" w:type="dxa"/>
          </w:tcPr>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金融市场创新</w:t>
            </w:r>
          </w:p>
        </w:tc>
        <w:tc>
          <w:tcPr>
            <w:tcW w:w="1418" w:type="dxa"/>
          </w:tcPr>
          <w:p w:rsidR="000F5E2C" w:rsidRPr="003316D6" w:rsidRDefault="000F5E2C" w:rsidP="009C5AB4">
            <w:pPr>
              <w:jc w:val="left"/>
              <w:rPr>
                <w:rFonts w:ascii="宋体" w:cs="Times New Roman"/>
                <w:sz w:val="20"/>
                <w:szCs w:val="20"/>
              </w:rPr>
            </w:pPr>
          </w:p>
          <w:p w:rsidR="000F5E2C" w:rsidRPr="003316D6" w:rsidRDefault="000F5E2C" w:rsidP="009C5AB4">
            <w:pPr>
              <w:jc w:val="left"/>
              <w:rPr>
                <w:rFonts w:ascii="宋体" w:cs="Times New Roman"/>
                <w:sz w:val="20"/>
                <w:szCs w:val="20"/>
              </w:rPr>
            </w:pPr>
            <w:hyperlink r:id="rId7" w:history="1">
              <w:r w:rsidRPr="003316D6">
                <w:rPr>
                  <w:rFonts w:ascii="宋体" w:hAnsi="宋体" w:cs="宋体" w:hint="eastAsia"/>
                  <w:sz w:val="20"/>
                  <w:szCs w:val="20"/>
                </w:rPr>
                <w:t>商业银行开展自贸区债券柜台</w:t>
              </w:r>
            </w:hyperlink>
            <w:r w:rsidRPr="003316D6">
              <w:rPr>
                <w:rFonts w:ascii="宋体" w:hAnsi="宋体" w:cs="宋体" w:hint="eastAsia"/>
                <w:sz w:val="20"/>
                <w:szCs w:val="20"/>
              </w:rPr>
              <w:t>业务</w:t>
            </w:r>
          </w:p>
          <w:p w:rsidR="000F5E2C" w:rsidRPr="003316D6" w:rsidRDefault="000F5E2C" w:rsidP="009C5AB4">
            <w:pPr>
              <w:jc w:val="left"/>
              <w:rPr>
                <w:rFonts w:ascii="宋体" w:cs="Times New Roman"/>
                <w:sz w:val="20"/>
                <w:szCs w:val="20"/>
              </w:rPr>
            </w:pPr>
          </w:p>
        </w:tc>
        <w:tc>
          <w:tcPr>
            <w:tcW w:w="4819" w:type="dxa"/>
          </w:tcPr>
          <w:p w:rsidR="000F5E2C" w:rsidRDefault="000F5E2C" w:rsidP="00E4632A">
            <w:pPr>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9</w:t>
            </w:r>
            <w:r w:rsidRPr="003316D6">
              <w:rPr>
                <w:rFonts w:ascii="宋体" w:hAnsi="宋体" w:cs="宋体" w:hint="eastAsia"/>
                <w:sz w:val="20"/>
                <w:szCs w:val="20"/>
              </w:rPr>
              <w:t>月</w:t>
            </w:r>
            <w:r w:rsidRPr="003316D6">
              <w:rPr>
                <w:rFonts w:ascii="宋体" w:hAnsi="宋体" w:cs="宋体"/>
                <w:sz w:val="20"/>
                <w:szCs w:val="20"/>
              </w:rPr>
              <w:t>23</w:t>
            </w:r>
            <w:r w:rsidRPr="003316D6">
              <w:rPr>
                <w:rFonts w:ascii="宋体" w:hAnsi="宋体" w:cs="宋体" w:hint="eastAsia"/>
                <w:sz w:val="20"/>
                <w:szCs w:val="20"/>
              </w:rPr>
              <w:t>日，上海清算所自贸区债券柜台业务推出。该业务可支持经备案的承办机构在其自贸试验区分行柜台，面向已开立自贸区柜台债券账户的区内和境外投资人销售人民币债券，并提供做市、二级托管服务。上海清算所作为总托管机构，负责总登记和日常监测。中国银行作为首家接入承办银行，与其</w:t>
            </w:r>
            <w:r>
              <w:rPr>
                <w:rFonts w:ascii="宋体" w:hAnsi="宋体" w:cs="宋体" w:hint="eastAsia"/>
                <w:sz w:val="20"/>
                <w:szCs w:val="20"/>
              </w:rPr>
              <w:t>非金融企业</w:t>
            </w:r>
            <w:bookmarkStart w:id="0" w:name="_GoBack"/>
            <w:bookmarkEnd w:id="0"/>
            <w:r>
              <w:rPr>
                <w:rFonts w:ascii="宋体" w:hAnsi="宋体" w:cs="宋体" w:hint="eastAsia"/>
                <w:sz w:val="20"/>
                <w:szCs w:val="20"/>
              </w:rPr>
              <w:t>客户完成</w:t>
            </w:r>
            <w:r w:rsidRPr="003316D6">
              <w:rPr>
                <w:rFonts w:ascii="宋体" w:hAnsi="宋体" w:cs="宋体" w:hint="eastAsia"/>
                <w:sz w:val="20"/>
                <w:szCs w:val="20"/>
              </w:rPr>
              <w:t>首</w:t>
            </w:r>
            <w:r>
              <w:rPr>
                <w:rFonts w:ascii="宋体" w:hAnsi="宋体" w:cs="宋体" w:hint="eastAsia"/>
                <w:sz w:val="20"/>
                <w:szCs w:val="20"/>
              </w:rPr>
              <w:t>笔</w:t>
            </w:r>
            <w:r w:rsidRPr="003316D6">
              <w:rPr>
                <w:rFonts w:ascii="宋体" w:hAnsi="宋体" w:cs="宋体" w:hint="eastAsia"/>
                <w:sz w:val="20"/>
                <w:szCs w:val="20"/>
              </w:rPr>
              <w:t>自贸区柜台债券</w:t>
            </w:r>
            <w:r>
              <w:rPr>
                <w:rFonts w:ascii="宋体" w:hAnsi="宋体" w:cs="宋体" w:hint="eastAsia"/>
                <w:sz w:val="20"/>
                <w:szCs w:val="20"/>
              </w:rPr>
              <w:t>交易</w:t>
            </w:r>
            <w:r w:rsidRPr="003316D6">
              <w:rPr>
                <w:rFonts w:ascii="宋体" w:hAnsi="宋体" w:cs="宋体" w:hint="eastAsia"/>
                <w:sz w:val="20"/>
                <w:szCs w:val="20"/>
              </w:rPr>
              <w:t>。</w:t>
            </w: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4820" w:type="dxa"/>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一是自贸区债券柜台业务是信用类债券首次在商业银行柜台发售，是投资人依托自由贸易账户体系首次进行的二级市场债券交易。</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二是增加了自由贸易账户债券交易功能，实现了商业银行通过自由贸易账户体系代理非银行间市场参与者参与人民币债券市场交易。</w:t>
            </w:r>
          </w:p>
        </w:tc>
        <w:tc>
          <w:tcPr>
            <w:tcW w:w="3670" w:type="dxa"/>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一是为区内和境外投资人提供了新的资产配置渠道，丰富了投资标的，降低了投资者参与债券交易的成本。</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二是有利于完善我国债券市场，丰富境外人民币投资境内金融产品的范围</w:t>
            </w:r>
            <w:r>
              <w:rPr>
                <w:rFonts w:ascii="宋体" w:cs="宋体"/>
                <w:sz w:val="20"/>
                <w:szCs w:val="20"/>
              </w:rPr>
              <w:t>,</w:t>
            </w:r>
            <w:r w:rsidRPr="003316D6">
              <w:rPr>
                <w:rFonts w:ascii="宋体" w:hAnsi="宋体" w:cs="宋体" w:hint="eastAsia"/>
                <w:sz w:val="20"/>
                <w:szCs w:val="20"/>
              </w:rPr>
              <w:t>扩大人民币跨境使用，</w:t>
            </w:r>
            <w:r>
              <w:rPr>
                <w:rFonts w:ascii="宋体" w:hAnsi="宋体" w:cs="宋体" w:hint="eastAsia"/>
                <w:sz w:val="20"/>
                <w:szCs w:val="20"/>
              </w:rPr>
              <w:t>助推人民币国际化进程</w:t>
            </w:r>
            <w:r w:rsidRPr="003316D6">
              <w:rPr>
                <w:rFonts w:ascii="宋体" w:hAnsi="宋体" w:cs="宋体" w:hint="eastAsia"/>
                <w:sz w:val="20"/>
                <w:szCs w:val="20"/>
              </w:rPr>
              <w:t>。</w:t>
            </w:r>
          </w:p>
        </w:tc>
      </w:tr>
      <w:tr w:rsidR="000F5E2C" w:rsidRPr="003316D6">
        <w:trPr>
          <w:trHeight w:val="78"/>
          <w:jc w:val="center"/>
        </w:trPr>
        <w:tc>
          <w:tcPr>
            <w:tcW w:w="700" w:type="dxa"/>
          </w:tcPr>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5</w:t>
            </w:r>
          </w:p>
        </w:tc>
        <w:tc>
          <w:tcPr>
            <w:tcW w:w="762" w:type="dxa"/>
          </w:tcPr>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p w:rsidR="000F5E2C"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p w:rsidR="000F5E2C" w:rsidRDefault="000F5E2C" w:rsidP="003316D6">
            <w:pPr>
              <w:jc w:val="center"/>
              <w:rPr>
                <w:rFonts w:ascii="宋体" w:cs="Times New Roman"/>
                <w:sz w:val="20"/>
                <w:szCs w:val="20"/>
              </w:rPr>
            </w:pPr>
            <w:r w:rsidRPr="003316D6">
              <w:rPr>
                <w:rFonts w:ascii="宋体" w:hAnsi="宋体" w:cs="宋体" w:hint="eastAsia"/>
                <w:sz w:val="20"/>
                <w:szCs w:val="20"/>
              </w:rPr>
              <w:t>金融市场创新</w:t>
            </w:r>
          </w:p>
          <w:p w:rsidR="000F5E2C" w:rsidRDefault="000F5E2C" w:rsidP="003316D6">
            <w:pPr>
              <w:jc w:val="center"/>
              <w:rPr>
                <w:rFonts w:ascii="宋体" w:cs="Times New Roman"/>
                <w:sz w:val="20"/>
                <w:szCs w:val="20"/>
              </w:rPr>
            </w:pPr>
          </w:p>
          <w:p w:rsidR="000F5E2C" w:rsidRDefault="000F5E2C" w:rsidP="003316D6">
            <w:pPr>
              <w:jc w:val="center"/>
              <w:rPr>
                <w:rFonts w:ascii="宋体" w:cs="Times New Roman"/>
                <w:sz w:val="20"/>
                <w:szCs w:val="20"/>
              </w:rPr>
            </w:pPr>
          </w:p>
          <w:p w:rsidR="000F5E2C" w:rsidRPr="003316D6" w:rsidRDefault="000F5E2C" w:rsidP="003316D6">
            <w:pPr>
              <w:jc w:val="center"/>
              <w:rPr>
                <w:rFonts w:ascii="宋体" w:cs="Times New Roman"/>
                <w:sz w:val="20"/>
                <w:szCs w:val="20"/>
              </w:rPr>
            </w:pPr>
          </w:p>
        </w:tc>
        <w:tc>
          <w:tcPr>
            <w:tcW w:w="1418" w:type="dxa"/>
            <w:vAlign w:val="center"/>
          </w:tcPr>
          <w:p w:rsidR="000F5E2C" w:rsidRDefault="000F5E2C" w:rsidP="00C54C88">
            <w:pPr>
              <w:rPr>
                <w:rFonts w:ascii="宋体" w:cs="Times New Roman"/>
                <w:sz w:val="20"/>
                <w:szCs w:val="20"/>
              </w:rPr>
            </w:pPr>
            <w:r w:rsidRPr="003316D6">
              <w:rPr>
                <w:rFonts w:ascii="宋体" w:hAnsi="宋体" w:cs="宋体" w:hint="eastAsia"/>
                <w:sz w:val="20"/>
                <w:szCs w:val="20"/>
              </w:rPr>
              <w:t>上海保险交易所成立，保险资产登记交易平台试运行，全球首创</w:t>
            </w:r>
            <w:r w:rsidRPr="003316D6">
              <w:rPr>
                <w:rFonts w:ascii="宋体" w:cs="宋体" w:hint="eastAsia"/>
                <w:sz w:val="20"/>
                <w:szCs w:val="20"/>
              </w:rPr>
              <w:t>“</w:t>
            </w:r>
            <w:r w:rsidRPr="003316D6">
              <w:rPr>
                <w:rFonts w:ascii="宋体" w:hAnsi="宋体" w:cs="宋体" w:hint="eastAsia"/>
                <w:sz w:val="20"/>
                <w:szCs w:val="20"/>
              </w:rPr>
              <w:t>共同体</w:t>
            </w:r>
            <w:r w:rsidRPr="003316D6">
              <w:rPr>
                <w:rFonts w:ascii="宋体" w:hAnsi="宋体" w:cs="宋体"/>
                <w:sz w:val="20"/>
                <w:szCs w:val="20"/>
              </w:rPr>
              <w:t>+</w:t>
            </w:r>
            <w:r w:rsidRPr="003316D6">
              <w:rPr>
                <w:rFonts w:ascii="宋体" w:hAnsi="宋体" w:cs="宋体" w:hint="eastAsia"/>
                <w:sz w:val="20"/>
                <w:szCs w:val="20"/>
              </w:rPr>
              <w:t>保交所</w:t>
            </w:r>
            <w:r w:rsidRPr="003316D6">
              <w:rPr>
                <w:rFonts w:ascii="宋体" w:cs="宋体" w:hint="eastAsia"/>
                <w:sz w:val="20"/>
                <w:szCs w:val="20"/>
              </w:rPr>
              <w:t>”</w:t>
            </w:r>
            <w:r w:rsidRPr="003316D6">
              <w:rPr>
                <w:rFonts w:ascii="宋体" w:hAnsi="宋体" w:cs="宋体" w:hint="eastAsia"/>
                <w:sz w:val="20"/>
                <w:szCs w:val="20"/>
              </w:rPr>
              <w:t>服务模式</w:t>
            </w:r>
          </w:p>
          <w:p w:rsidR="000F5E2C" w:rsidRDefault="000F5E2C" w:rsidP="00C54C88">
            <w:pPr>
              <w:rPr>
                <w:rFonts w:ascii="宋体" w:cs="Times New Roman"/>
                <w:sz w:val="20"/>
                <w:szCs w:val="20"/>
              </w:rPr>
            </w:pPr>
          </w:p>
          <w:p w:rsidR="000F5E2C" w:rsidRPr="003316D6" w:rsidRDefault="000F5E2C" w:rsidP="00C54C88">
            <w:pPr>
              <w:rPr>
                <w:rFonts w:ascii="宋体" w:cs="Times New Roman"/>
                <w:sz w:val="20"/>
                <w:szCs w:val="20"/>
              </w:rPr>
            </w:pPr>
          </w:p>
        </w:tc>
        <w:tc>
          <w:tcPr>
            <w:tcW w:w="4819" w:type="dxa"/>
            <w:vAlign w:val="center"/>
          </w:tcPr>
          <w:p w:rsidR="000F5E2C" w:rsidRDefault="000F5E2C" w:rsidP="00E4632A">
            <w:pPr>
              <w:widowControl/>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6</w:t>
            </w:r>
            <w:r w:rsidRPr="003316D6">
              <w:rPr>
                <w:rFonts w:ascii="宋体" w:hAnsi="宋体" w:cs="宋体" w:hint="eastAsia"/>
                <w:sz w:val="20"/>
                <w:szCs w:val="20"/>
              </w:rPr>
              <w:t>月，上海保险交易所揭牌成立。上海保险交易所按照“公司化、市场化、专业化”原则组建，发起人股东主要为保险行业企业，并积极引进非保险行业股东，实现互补协同。上海保险交易所将重点搭建国际再保险、国际航运保险、大宗保险项目招投标以及特殊风险分散的“</w:t>
            </w:r>
            <w:r w:rsidRPr="003316D6">
              <w:rPr>
                <w:rFonts w:ascii="宋体" w:hAnsi="宋体" w:cs="宋体"/>
                <w:sz w:val="20"/>
                <w:szCs w:val="20"/>
              </w:rPr>
              <w:t>3+1</w:t>
            </w:r>
            <w:r w:rsidRPr="003316D6">
              <w:rPr>
                <w:rFonts w:ascii="宋体" w:hAnsi="宋体" w:cs="宋体" w:hint="eastAsia"/>
                <w:sz w:val="20"/>
                <w:szCs w:val="20"/>
              </w:rPr>
              <w:t>”业务平台，并探索有关交易内容。</w:t>
            </w:r>
            <w:r w:rsidRPr="003316D6">
              <w:rPr>
                <w:rFonts w:ascii="宋体" w:hAnsi="宋体" w:cs="宋体"/>
                <w:sz w:val="20"/>
                <w:szCs w:val="20"/>
              </w:rPr>
              <w:t>11</w:t>
            </w:r>
            <w:r w:rsidRPr="003316D6">
              <w:rPr>
                <w:rFonts w:ascii="宋体" w:hAnsi="宋体" w:cs="宋体" w:hint="eastAsia"/>
                <w:sz w:val="20"/>
                <w:szCs w:val="20"/>
              </w:rPr>
              <w:t>月，其保险资产登记交易平台投产试运行，发行“长江养老</w:t>
            </w:r>
            <w:r w:rsidRPr="003316D6">
              <w:rPr>
                <w:rFonts w:ascii="宋体" w:hAnsi="宋体" w:cs="宋体"/>
                <w:sz w:val="20"/>
                <w:szCs w:val="20"/>
              </w:rPr>
              <w:t>—</w:t>
            </w:r>
            <w:r w:rsidRPr="003316D6">
              <w:rPr>
                <w:rFonts w:ascii="宋体" w:hAnsi="宋体" w:cs="宋体" w:hint="eastAsia"/>
                <w:sz w:val="20"/>
                <w:szCs w:val="20"/>
              </w:rPr>
              <w:t>太平洋寿险保单贷款资产支持计划”、“太平</w:t>
            </w:r>
            <w:r w:rsidRPr="003316D6">
              <w:rPr>
                <w:rFonts w:ascii="宋体" w:hAnsi="宋体" w:cs="宋体"/>
                <w:sz w:val="20"/>
                <w:szCs w:val="20"/>
              </w:rPr>
              <w:t>—</w:t>
            </w:r>
            <w:r w:rsidRPr="003316D6">
              <w:rPr>
                <w:rFonts w:ascii="宋体" w:hAnsi="宋体" w:cs="宋体" w:hint="eastAsia"/>
                <w:sz w:val="20"/>
                <w:szCs w:val="20"/>
              </w:rPr>
              <w:t>上海建工都江堰市滨江新区基础设施</w:t>
            </w:r>
            <w:r w:rsidRPr="003316D6">
              <w:rPr>
                <w:rFonts w:ascii="宋体" w:hAnsi="宋体" w:cs="宋体"/>
                <w:sz w:val="20"/>
                <w:szCs w:val="20"/>
              </w:rPr>
              <w:t>(</w:t>
            </w:r>
            <w:r w:rsidRPr="000F4A0F">
              <w:rPr>
                <w:rFonts w:ascii="宋体" w:hAnsi="宋体" w:cs="宋体"/>
                <w:sz w:val="20"/>
                <w:szCs w:val="20"/>
              </w:rPr>
              <w:t>PPP</w:t>
            </w:r>
            <w:r w:rsidRPr="003316D6">
              <w:rPr>
                <w:rFonts w:ascii="宋体" w:hAnsi="宋体" w:cs="宋体"/>
                <w:sz w:val="20"/>
                <w:szCs w:val="20"/>
              </w:rPr>
              <w:t>)</w:t>
            </w:r>
            <w:r w:rsidRPr="003316D6">
              <w:rPr>
                <w:rFonts w:ascii="宋体" w:hAnsi="宋体" w:cs="宋体" w:hint="eastAsia"/>
                <w:sz w:val="20"/>
                <w:szCs w:val="20"/>
              </w:rPr>
              <w:t>项目债权投资计划”共</w:t>
            </w:r>
            <w:r w:rsidRPr="003316D6">
              <w:rPr>
                <w:rFonts w:ascii="宋体" w:hAnsi="宋体" w:cs="宋体"/>
                <w:sz w:val="20"/>
                <w:szCs w:val="20"/>
              </w:rPr>
              <w:t>2</w:t>
            </w:r>
            <w:r w:rsidRPr="003316D6">
              <w:rPr>
                <w:rFonts w:ascii="宋体" w:hAnsi="宋体" w:cs="宋体" w:hint="eastAsia"/>
                <w:sz w:val="20"/>
                <w:szCs w:val="20"/>
              </w:rPr>
              <w:t>只保险资产管理产品，发行注册总规模</w:t>
            </w:r>
            <w:r w:rsidRPr="003316D6">
              <w:rPr>
                <w:rFonts w:ascii="宋体" w:hAnsi="宋体" w:cs="宋体"/>
                <w:sz w:val="20"/>
                <w:szCs w:val="20"/>
              </w:rPr>
              <w:t>78.8</w:t>
            </w:r>
            <w:r w:rsidRPr="003316D6">
              <w:rPr>
                <w:rFonts w:ascii="宋体" w:hAnsi="宋体" w:cs="宋体" w:hint="eastAsia"/>
                <w:sz w:val="20"/>
                <w:szCs w:val="20"/>
              </w:rPr>
              <w:t>亿元，首期合计发行及登记规模</w:t>
            </w:r>
            <w:r w:rsidRPr="003316D6">
              <w:rPr>
                <w:rFonts w:ascii="宋体" w:hAnsi="宋体" w:cs="宋体"/>
                <w:sz w:val="20"/>
                <w:szCs w:val="20"/>
              </w:rPr>
              <w:t>16</w:t>
            </w:r>
            <w:r w:rsidRPr="003316D6">
              <w:rPr>
                <w:rFonts w:ascii="宋体" w:hAnsi="宋体" w:cs="宋体" w:hint="eastAsia"/>
                <w:sz w:val="20"/>
                <w:szCs w:val="20"/>
              </w:rPr>
              <w:t>亿元。太平资产管理公司、长江养老保险公司成为首批在该平台发行产品的产品管理人。</w:t>
            </w:r>
            <w:r w:rsidRPr="003316D6">
              <w:rPr>
                <w:rFonts w:ascii="宋体" w:hAnsi="宋体" w:cs="宋体"/>
                <w:sz w:val="20"/>
                <w:szCs w:val="20"/>
              </w:rPr>
              <w:t>12</w:t>
            </w:r>
            <w:r w:rsidRPr="003316D6">
              <w:rPr>
                <w:rFonts w:ascii="宋体" w:hAnsi="宋体" w:cs="宋体" w:hint="eastAsia"/>
                <w:sz w:val="20"/>
                <w:szCs w:val="20"/>
              </w:rPr>
              <w:t>月</w:t>
            </w:r>
            <w:r w:rsidRPr="003316D6">
              <w:rPr>
                <w:rFonts w:ascii="宋体" w:hAnsi="宋体" w:cs="宋体"/>
                <w:sz w:val="20"/>
                <w:szCs w:val="20"/>
              </w:rPr>
              <w:t>26</w:t>
            </w:r>
            <w:r w:rsidRPr="003316D6">
              <w:rPr>
                <w:rFonts w:ascii="宋体" w:hAnsi="宋体" w:cs="宋体" w:hint="eastAsia"/>
                <w:sz w:val="20"/>
                <w:szCs w:val="20"/>
              </w:rPr>
              <w:t>日，中国城乡居民住宅地震巨灾保险运营平台正式上线运行，为中国城乡居民住宅地震巨灾保险共同体提供承保理赔交易结算等一站式综合服务。</w:t>
            </w: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Pr="003316D6" w:rsidRDefault="000F5E2C" w:rsidP="00E4632A">
            <w:pPr>
              <w:widowControl/>
              <w:snapToGrid w:val="0"/>
              <w:rPr>
                <w:rFonts w:ascii="宋体" w:cs="Times New Roman"/>
                <w:sz w:val="20"/>
                <w:szCs w:val="20"/>
              </w:rPr>
            </w:pPr>
          </w:p>
          <w:p w:rsidR="000F5E2C" w:rsidRDefault="000F5E2C" w:rsidP="00E4632A">
            <w:pPr>
              <w:rPr>
                <w:rFonts w:ascii="宋体" w:cs="Times New Roman"/>
                <w:sz w:val="20"/>
                <w:szCs w:val="20"/>
              </w:rPr>
            </w:pPr>
          </w:p>
          <w:p w:rsidR="000F5E2C" w:rsidRPr="003316D6" w:rsidRDefault="000F5E2C" w:rsidP="00E4632A">
            <w:pPr>
              <w:rPr>
                <w:rFonts w:ascii="宋体" w:cs="Times New Roman"/>
                <w:sz w:val="20"/>
                <w:szCs w:val="20"/>
              </w:rPr>
            </w:pPr>
          </w:p>
        </w:tc>
        <w:tc>
          <w:tcPr>
            <w:tcW w:w="4820" w:type="dxa"/>
            <w:vAlign w:val="center"/>
          </w:tcPr>
          <w:p w:rsidR="000F5E2C" w:rsidRPr="003316D6" w:rsidRDefault="000F5E2C" w:rsidP="00E4632A">
            <w:pPr>
              <w:widowControl/>
              <w:snapToGrid w:val="0"/>
              <w:rPr>
                <w:rFonts w:ascii="宋体" w:cs="Times New Roman"/>
                <w:sz w:val="20"/>
                <w:szCs w:val="20"/>
              </w:rPr>
            </w:pPr>
            <w:r w:rsidRPr="003316D6">
              <w:rPr>
                <w:rFonts w:ascii="宋体" w:hAnsi="宋体" w:cs="宋体" w:hint="eastAsia"/>
                <w:sz w:val="20"/>
                <w:szCs w:val="20"/>
              </w:rPr>
              <w:t>一是上海保险交易所是全国唯一的国家级、创新型保险要素交易平台，填补了国内保险要素市场的空白。其功能定位主要包括价格发现、交易融资、信息服务、技术支持、产品创新、自律监管。</w:t>
            </w:r>
          </w:p>
          <w:p w:rsidR="000F5E2C" w:rsidRPr="003316D6" w:rsidRDefault="000F5E2C" w:rsidP="00E4632A">
            <w:pPr>
              <w:widowControl/>
              <w:autoSpaceDE w:val="0"/>
              <w:autoSpaceDN w:val="0"/>
              <w:snapToGrid w:val="0"/>
              <w:rPr>
                <w:rFonts w:ascii="宋体" w:cs="Times New Roman"/>
                <w:sz w:val="20"/>
                <w:szCs w:val="20"/>
              </w:rPr>
            </w:pPr>
            <w:r w:rsidRPr="003316D6">
              <w:rPr>
                <w:rFonts w:ascii="宋体" w:hAnsi="宋体" w:cs="宋体" w:hint="eastAsia"/>
                <w:sz w:val="20"/>
                <w:szCs w:val="20"/>
              </w:rPr>
              <w:t>二是保险资产登记交易平台将为保险资管行业建设规范化、创新型的信息化基础设施，为保险资产管理产品的发行、登记、交易、资金结算和信息披露等提供专业服务和技术支持，为监管机构测量和防范风险提供重要的辅助支持。</w:t>
            </w:r>
          </w:p>
          <w:p w:rsidR="000F5E2C" w:rsidRDefault="000F5E2C" w:rsidP="00E4632A">
            <w:pPr>
              <w:widowControl/>
              <w:autoSpaceDE w:val="0"/>
              <w:autoSpaceDN w:val="0"/>
              <w:snapToGrid w:val="0"/>
              <w:rPr>
                <w:rFonts w:ascii="宋体" w:cs="Times New Roman"/>
                <w:sz w:val="20"/>
                <w:szCs w:val="20"/>
              </w:rPr>
            </w:pPr>
            <w:r w:rsidRPr="003316D6">
              <w:rPr>
                <w:rFonts w:ascii="宋体" w:hAnsi="宋体" w:cs="宋体" w:hint="eastAsia"/>
                <w:sz w:val="20"/>
                <w:szCs w:val="20"/>
              </w:rPr>
              <w:t>三是首发的</w:t>
            </w:r>
            <w:r w:rsidRPr="003316D6">
              <w:rPr>
                <w:rFonts w:ascii="宋体" w:hAnsi="宋体" w:cs="宋体"/>
                <w:sz w:val="20"/>
                <w:szCs w:val="20"/>
              </w:rPr>
              <w:t>2</w:t>
            </w:r>
            <w:r w:rsidRPr="003316D6">
              <w:rPr>
                <w:rFonts w:ascii="宋体" w:hAnsi="宋体" w:cs="宋体" w:hint="eastAsia"/>
                <w:sz w:val="20"/>
                <w:szCs w:val="20"/>
              </w:rPr>
              <w:t>只保险资管产品分别是业内第一单循环购买保单贷款资产证券化产品和第一单以</w:t>
            </w:r>
            <w:r w:rsidRPr="003316D6">
              <w:rPr>
                <w:rFonts w:ascii="宋体" w:hAnsi="宋体" w:cs="宋体"/>
                <w:sz w:val="20"/>
                <w:szCs w:val="20"/>
              </w:rPr>
              <w:t>PPP</w:t>
            </w:r>
            <w:r w:rsidRPr="003316D6">
              <w:rPr>
                <w:rFonts w:ascii="宋体" w:hAnsi="宋体" w:cs="宋体" w:hint="eastAsia"/>
                <w:sz w:val="20"/>
                <w:szCs w:val="20"/>
              </w:rPr>
              <w:t>项目为底层资产的债权投资计划产品。</w:t>
            </w:r>
          </w:p>
          <w:p w:rsidR="000F5E2C" w:rsidRDefault="000F5E2C" w:rsidP="00E4632A">
            <w:pPr>
              <w:widowControl/>
              <w:autoSpaceDE w:val="0"/>
              <w:autoSpaceDN w:val="0"/>
              <w:snapToGrid w:val="0"/>
              <w:rPr>
                <w:rFonts w:ascii="宋体" w:cs="Times New Roman"/>
                <w:sz w:val="20"/>
                <w:szCs w:val="20"/>
              </w:rPr>
            </w:pPr>
          </w:p>
          <w:p w:rsidR="000F5E2C" w:rsidRDefault="000F5E2C" w:rsidP="00E4632A">
            <w:pPr>
              <w:widowControl/>
              <w:autoSpaceDE w:val="0"/>
              <w:autoSpaceDN w:val="0"/>
              <w:snapToGrid w:val="0"/>
              <w:rPr>
                <w:rFonts w:ascii="宋体" w:cs="Times New Roman"/>
                <w:sz w:val="20"/>
                <w:szCs w:val="20"/>
              </w:rPr>
            </w:pPr>
          </w:p>
          <w:p w:rsidR="000F5E2C" w:rsidRDefault="000F5E2C" w:rsidP="00E4632A">
            <w:pPr>
              <w:widowControl/>
              <w:autoSpaceDE w:val="0"/>
              <w:autoSpaceDN w:val="0"/>
              <w:snapToGrid w:val="0"/>
              <w:rPr>
                <w:rFonts w:ascii="宋体" w:cs="Times New Roman"/>
                <w:sz w:val="20"/>
                <w:szCs w:val="20"/>
              </w:rPr>
            </w:pPr>
          </w:p>
          <w:p w:rsidR="000F5E2C" w:rsidRPr="003316D6" w:rsidRDefault="000F5E2C" w:rsidP="00E4632A">
            <w:pPr>
              <w:widowControl/>
              <w:autoSpaceDE w:val="0"/>
              <w:autoSpaceDN w:val="0"/>
              <w:snapToGrid w:val="0"/>
              <w:rPr>
                <w:rFonts w:ascii="宋体" w:cs="Times New Roman"/>
                <w:sz w:val="20"/>
                <w:szCs w:val="20"/>
              </w:rPr>
            </w:pPr>
          </w:p>
          <w:p w:rsidR="000F5E2C" w:rsidRDefault="000F5E2C" w:rsidP="00E4632A">
            <w:pPr>
              <w:widowControl/>
              <w:autoSpaceDE w:val="0"/>
              <w:autoSpaceDN w:val="0"/>
              <w:snapToGrid w:val="0"/>
              <w:rPr>
                <w:rFonts w:ascii="宋体" w:cs="Times New Roman"/>
                <w:sz w:val="20"/>
                <w:szCs w:val="20"/>
              </w:rPr>
            </w:pPr>
          </w:p>
          <w:p w:rsidR="000F5E2C" w:rsidRDefault="000F5E2C" w:rsidP="00E4632A">
            <w:pPr>
              <w:widowControl/>
              <w:autoSpaceDE w:val="0"/>
              <w:autoSpaceDN w:val="0"/>
              <w:snapToGrid w:val="0"/>
              <w:rPr>
                <w:rFonts w:ascii="宋体" w:cs="Times New Roman"/>
                <w:sz w:val="20"/>
                <w:szCs w:val="20"/>
              </w:rPr>
            </w:pPr>
          </w:p>
          <w:p w:rsidR="000F5E2C" w:rsidRDefault="000F5E2C" w:rsidP="00E4632A">
            <w:pPr>
              <w:widowControl/>
              <w:autoSpaceDE w:val="0"/>
              <w:autoSpaceDN w:val="0"/>
              <w:snapToGrid w:val="0"/>
              <w:rPr>
                <w:rFonts w:ascii="宋体" w:cs="Times New Roman"/>
                <w:sz w:val="20"/>
                <w:szCs w:val="20"/>
              </w:rPr>
            </w:pPr>
          </w:p>
          <w:p w:rsidR="000F5E2C" w:rsidRPr="003316D6" w:rsidRDefault="000F5E2C" w:rsidP="00E4632A">
            <w:pPr>
              <w:widowControl/>
              <w:autoSpaceDE w:val="0"/>
              <w:autoSpaceDN w:val="0"/>
              <w:snapToGrid w:val="0"/>
              <w:rPr>
                <w:rFonts w:ascii="宋体" w:cs="Times New Roman"/>
                <w:sz w:val="20"/>
                <w:szCs w:val="20"/>
              </w:rPr>
            </w:pPr>
          </w:p>
          <w:p w:rsidR="000F5E2C" w:rsidRPr="003316D6" w:rsidRDefault="000F5E2C" w:rsidP="00E4632A">
            <w:pPr>
              <w:widowControl/>
              <w:autoSpaceDE w:val="0"/>
              <w:autoSpaceDN w:val="0"/>
              <w:snapToGrid w:val="0"/>
              <w:rPr>
                <w:rFonts w:ascii="宋体" w:cs="Times New Roman"/>
                <w:sz w:val="20"/>
                <w:szCs w:val="20"/>
              </w:rPr>
            </w:pPr>
          </w:p>
        </w:tc>
        <w:tc>
          <w:tcPr>
            <w:tcW w:w="3670" w:type="dxa"/>
            <w:vAlign w:val="center"/>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一是上海保险交易所是上海建设国际保险中心的重要功能平台，有利于上海加快形成“立足上海、面向全国、辐射全球”的保险交易、定价中心。</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二是上海保险交易所成立有助于促进保险产品更加透明、信息披露更加充分、服务更加便利、功能更加完备。</w:t>
            </w:r>
          </w:p>
          <w:p w:rsidR="000F5E2C" w:rsidRDefault="000F5E2C" w:rsidP="00E4632A">
            <w:pPr>
              <w:snapToGrid w:val="0"/>
              <w:rPr>
                <w:rFonts w:ascii="宋体" w:cs="Times New Roman"/>
                <w:sz w:val="20"/>
                <w:szCs w:val="20"/>
              </w:rPr>
            </w:pPr>
            <w:r w:rsidRPr="003316D6">
              <w:rPr>
                <w:rFonts w:ascii="宋体" w:hAnsi="宋体" w:cs="宋体" w:hint="eastAsia"/>
                <w:sz w:val="20"/>
                <w:szCs w:val="20"/>
              </w:rPr>
              <w:t>三是上海保险交易所成立，有利于依托自贸试验区的政策优势，探索形成更多可复制可推广的成功经验，促进我国保险业健康发展。</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r>
      <w:tr w:rsidR="000F5E2C" w:rsidRPr="003316D6">
        <w:trPr>
          <w:trHeight w:val="78"/>
          <w:jc w:val="center"/>
        </w:trPr>
        <w:tc>
          <w:tcPr>
            <w:tcW w:w="700" w:type="dxa"/>
          </w:tcPr>
          <w:p w:rsidR="000F5E2C" w:rsidRPr="00241F33"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tcPr>
          <w:p w:rsidR="000F5E2C" w:rsidRPr="00241F33"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Default="000F5E2C" w:rsidP="00D670E6">
            <w:pPr>
              <w:jc w:val="center"/>
              <w:rPr>
                <w:rFonts w:ascii="宋体" w:cs="Times New Roman"/>
                <w:color w:val="000000"/>
                <w:sz w:val="20"/>
                <w:szCs w:val="20"/>
              </w:rPr>
            </w:pPr>
          </w:p>
          <w:p w:rsidR="000F5E2C" w:rsidRDefault="000F5E2C" w:rsidP="00D670E6">
            <w:pPr>
              <w:jc w:val="center"/>
              <w:rPr>
                <w:rFonts w:ascii="宋体" w:cs="Times New Roman"/>
                <w:color w:val="000000"/>
                <w:sz w:val="20"/>
                <w:szCs w:val="20"/>
              </w:rPr>
            </w:pPr>
          </w:p>
          <w:p w:rsidR="000F5E2C" w:rsidRDefault="000F5E2C" w:rsidP="00D670E6">
            <w:pPr>
              <w:jc w:val="center"/>
              <w:rPr>
                <w:rFonts w:ascii="宋体" w:cs="Times New Roman"/>
                <w:color w:val="000000"/>
                <w:sz w:val="20"/>
                <w:szCs w:val="20"/>
              </w:rPr>
            </w:pPr>
          </w:p>
          <w:p w:rsidR="000F5E2C" w:rsidRDefault="000F5E2C" w:rsidP="00D670E6">
            <w:pPr>
              <w:jc w:val="center"/>
              <w:rPr>
                <w:rFonts w:ascii="宋体" w:cs="Times New Roman"/>
                <w:color w:val="000000"/>
                <w:sz w:val="20"/>
                <w:szCs w:val="20"/>
              </w:rPr>
            </w:pPr>
          </w:p>
          <w:p w:rsidR="000F5E2C" w:rsidRDefault="000F5E2C" w:rsidP="00D670E6">
            <w:pPr>
              <w:jc w:val="center"/>
              <w:rPr>
                <w:rFonts w:ascii="宋体" w:cs="Times New Roman"/>
                <w:color w:val="000000"/>
                <w:sz w:val="20"/>
                <w:szCs w:val="20"/>
              </w:rPr>
            </w:pPr>
          </w:p>
          <w:p w:rsidR="000F5E2C" w:rsidRPr="003316D6" w:rsidRDefault="000F5E2C" w:rsidP="00D670E6">
            <w:pPr>
              <w:jc w:val="center"/>
              <w:rPr>
                <w:rFonts w:ascii="宋体" w:cs="Times New Roman"/>
                <w:color w:val="000000"/>
                <w:sz w:val="20"/>
                <w:szCs w:val="20"/>
              </w:rPr>
            </w:pPr>
            <w:r>
              <w:rPr>
                <w:rFonts w:ascii="宋体" w:hAnsi="宋体" w:cs="宋体"/>
                <w:color w:val="000000"/>
                <w:sz w:val="20"/>
                <w:szCs w:val="20"/>
              </w:rPr>
              <w:t>6</w:t>
            </w:r>
          </w:p>
        </w:tc>
        <w:tc>
          <w:tcPr>
            <w:tcW w:w="762" w:type="dxa"/>
            <w:vAlign w:val="center"/>
          </w:tcPr>
          <w:p w:rsidR="000F5E2C" w:rsidRDefault="000F5E2C" w:rsidP="003316D6">
            <w:pPr>
              <w:snapToGrid w:val="0"/>
              <w:jc w:val="center"/>
              <w:rPr>
                <w:rFonts w:ascii="宋体" w:cs="Times New Roman"/>
                <w:sz w:val="20"/>
                <w:szCs w:val="20"/>
              </w:rPr>
            </w:pPr>
            <w:r w:rsidRPr="003316D6">
              <w:rPr>
                <w:rFonts w:ascii="宋体" w:hAnsi="宋体" w:cs="宋体" w:hint="eastAsia"/>
                <w:sz w:val="20"/>
                <w:szCs w:val="20"/>
              </w:rPr>
              <w:t>金融市场创新</w:t>
            </w:r>
          </w:p>
          <w:p w:rsidR="000F5E2C" w:rsidRDefault="000F5E2C" w:rsidP="003316D6">
            <w:pPr>
              <w:snapToGrid w:val="0"/>
              <w:jc w:val="center"/>
              <w:rPr>
                <w:rFonts w:ascii="宋体" w:cs="Times New Roman"/>
                <w:sz w:val="20"/>
                <w:szCs w:val="20"/>
              </w:rPr>
            </w:pPr>
          </w:p>
          <w:p w:rsidR="000F5E2C" w:rsidRDefault="000F5E2C" w:rsidP="003316D6">
            <w:pPr>
              <w:snapToGrid w:val="0"/>
              <w:jc w:val="center"/>
              <w:rPr>
                <w:rFonts w:ascii="宋体" w:cs="Times New Roman"/>
                <w:sz w:val="20"/>
                <w:szCs w:val="20"/>
              </w:rPr>
            </w:pPr>
          </w:p>
          <w:p w:rsidR="000F5E2C" w:rsidRPr="003316D6" w:rsidRDefault="000F5E2C" w:rsidP="003316D6">
            <w:pPr>
              <w:snapToGrid w:val="0"/>
              <w:jc w:val="center"/>
              <w:rPr>
                <w:rFonts w:ascii="宋体" w:cs="Times New Roman"/>
                <w:sz w:val="20"/>
                <w:szCs w:val="20"/>
              </w:rPr>
            </w:pPr>
          </w:p>
        </w:tc>
        <w:tc>
          <w:tcPr>
            <w:tcW w:w="1418" w:type="dxa"/>
            <w:vAlign w:val="center"/>
          </w:tcPr>
          <w:p w:rsidR="000F5E2C" w:rsidRDefault="000F5E2C" w:rsidP="003316D6">
            <w:pPr>
              <w:snapToGrid w:val="0"/>
              <w:jc w:val="left"/>
              <w:rPr>
                <w:rFonts w:ascii="宋体" w:cs="Times New Roman"/>
                <w:sz w:val="20"/>
                <w:szCs w:val="20"/>
              </w:rPr>
            </w:pPr>
            <w:r w:rsidRPr="003316D6">
              <w:rPr>
                <w:rFonts w:ascii="宋体" w:hAnsi="宋体" w:cs="宋体" w:hint="eastAsia"/>
                <w:sz w:val="20"/>
                <w:szCs w:val="20"/>
              </w:rPr>
              <w:t>上海票据交易所成立</w:t>
            </w:r>
          </w:p>
          <w:p w:rsidR="000F5E2C" w:rsidRDefault="000F5E2C" w:rsidP="003316D6">
            <w:pPr>
              <w:snapToGrid w:val="0"/>
              <w:jc w:val="left"/>
              <w:rPr>
                <w:rFonts w:ascii="宋体" w:cs="Times New Roman"/>
                <w:sz w:val="20"/>
                <w:szCs w:val="20"/>
              </w:rPr>
            </w:pPr>
          </w:p>
          <w:p w:rsidR="000F5E2C" w:rsidRDefault="000F5E2C" w:rsidP="003316D6">
            <w:pPr>
              <w:snapToGrid w:val="0"/>
              <w:jc w:val="left"/>
              <w:rPr>
                <w:rFonts w:ascii="宋体" w:cs="Times New Roman"/>
                <w:sz w:val="20"/>
                <w:szCs w:val="20"/>
              </w:rPr>
            </w:pPr>
          </w:p>
          <w:p w:rsidR="000F5E2C" w:rsidRDefault="000F5E2C" w:rsidP="003316D6">
            <w:pPr>
              <w:snapToGrid w:val="0"/>
              <w:jc w:val="left"/>
              <w:rPr>
                <w:rFonts w:ascii="宋体" w:cs="Times New Roman"/>
                <w:sz w:val="20"/>
                <w:szCs w:val="20"/>
              </w:rPr>
            </w:pPr>
          </w:p>
          <w:p w:rsidR="000F5E2C" w:rsidRPr="003316D6" w:rsidRDefault="000F5E2C" w:rsidP="003316D6">
            <w:pPr>
              <w:snapToGrid w:val="0"/>
              <w:jc w:val="left"/>
              <w:rPr>
                <w:rFonts w:ascii="宋体" w:cs="Times New Roman"/>
                <w:sz w:val="20"/>
                <w:szCs w:val="20"/>
              </w:rPr>
            </w:pPr>
          </w:p>
        </w:tc>
        <w:tc>
          <w:tcPr>
            <w:tcW w:w="4819" w:type="dxa"/>
            <w:vAlign w:val="center"/>
          </w:tcPr>
          <w:p w:rsidR="000F5E2C" w:rsidRDefault="000F5E2C" w:rsidP="00E4632A">
            <w:pPr>
              <w:widowControl/>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12</w:t>
            </w:r>
            <w:r w:rsidRPr="003316D6">
              <w:rPr>
                <w:rFonts w:ascii="宋体" w:hAnsi="宋体" w:cs="宋体" w:hint="eastAsia"/>
                <w:sz w:val="20"/>
                <w:szCs w:val="20"/>
              </w:rPr>
              <w:t>月</w:t>
            </w:r>
            <w:r w:rsidRPr="003316D6">
              <w:rPr>
                <w:rFonts w:ascii="宋体" w:hAnsi="宋体" w:cs="宋体"/>
                <w:sz w:val="20"/>
                <w:szCs w:val="20"/>
              </w:rPr>
              <w:t>8</w:t>
            </w:r>
            <w:r w:rsidRPr="003316D6">
              <w:rPr>
                <w:rFonts w:ascii="宋体" w:hAnsi="宋体" w:cs="宋体" w:hint="eastAsia"/>
                <w:sz w:val="20"/>
                <w:szCs w:val="20"/>
              </w:rPr>
              <w:t>日，上海票据交易所（以下简称“上海票交所”）成立。上海票交所是经国务院同意、人民银行推动筹建的全国性票据报价交易、托管登记、清算结算、信息查询和票据风险监测平台，是人民银行实施货币政策和公开市场操作的重要金融基础设施。上海票交所注册资本</w:t>
            </w:r>
            <w:r w:rsidRPr="003316D6">
              <w:rPr>
                <w:rFonts w:ascii="宋体" w:hAnsi="宋体" w:cs="宋体"/>
                <w:sz w:val="20"/>
                <w:szCs w:val="20"/>
              </w:rPr>
              <w:t>18.45</w:t>
            </w:r>
            <w:r w:rsidRPr="003316D6">
              <w:rPr>
                <w:rFonts w:ascii="宋体" w:hAnsi="宋体" w:cs="宋体" w:hint="eastAsia"/>
                <w:sz w:val="20"/>
                <w:szCs w:val="20"/>
              </w:rPr>
              <w:t>亿元，采取股份制，由人民银行附属机构</w:t>
            </w:r>
            <w:r>
              <w:rPr>
                <w:rFonts w:ascii="宋体" w:hAnsi="宋体" w:cs="宋体" w:hint="eastAsia"/>
                <w:sz w:val="20"/>
                <w:szCs w:val="20"/>
              </w:rPr>
              <w:t>、五大国有商业银行、</w:t>
            </w:r>
            <w:r w:rsidRPr="003316D6">
              <w:rPr>
                <w:rFonts w:ascii="宋体" w:hAnsi="宋体" w:cs="宋体" w:hint="eastAsia"/>
                <w:sz w:val="20"/>
                <w:szCs w:val="20"/>
              </w:rPr>
              <w:t>部分股份制银行以及上海国际集团等</w:t>
            </w:r>
            <w:r w:rsidRPr="003316D6">
              <w:rPr>
                <w:rFonts w:ascii="宋体" w:hAnsi="宋体" w:cs="宋体"/>
                <w:sz w:val="20"/>
                <w:szCs w:val="20"/>
              </w:rPr>
              <w:t>29</w:t>
            </w:r>
            <w:r w:rsidRPr="003316D6">
              <w:rPr>
                <w:rFonts w:ascii="宋体" w:hAnsi="宋体" w:cs="宋体" w:hint="eastAsia"/>
                <w:sz w:val="20"/>
                <w:szCs w:val="20"/>
              </w:rPr>
              <w:t>家单位发起设立。目前，</w:t>
            </w:r>
            <w:r w:rsidRPr="003316D6">
              <w:rPr>
                <w:rFonts w:ascii="宋体" w:hAnsi="宋体" w:cs="宋体"/>
                <w:sz w:val="20"/>
                <w:szCs w:val="20"/>
              </w:rPr>
              <w:t>43</w:t>
            </w:r>
            <w:r w:rsidRPr="003316D6">
              <w:rPr>
                <w:rFonts w:ascii="宋体" w:hAnsi="宋体" w:cs="宋体" w:hint="eastAsia"/>
                <w:sz w:val="20"/>
                <w:szCs w:val="20"/>
              </w:rPr>
              <w:t>家试点机构已顺利完成首批上线，包括</w:t>
            </w:r>
            <w:r w:rsidRPr="003316D6">
              <w:rPr>
                <w:rFonts w:ascii="宋体" w:hAnsi="宋体" w:cs="宋体"/>
                <w:sz w:val="20"/>
                <w:szCs w:val="20"/>
              </w:rPr>
              <w:t>35</w:t>
            </w:r>
            <w:r w:rsidRPr="003316D6">
              <w:rPr>
                <w:rFonts w:ascii="宋体" w:hAnsi="宋体" w:cs="宋体" w:hint="eastAsia"/>
                <w:sz w:val="20"/>
                <w:szCs w:val="20"/>
              </w:rPr>
              <w:t>家商业银行、</w:t>
            </w:r>
            <w:r w:rsidRPr="003316D6">
              <w:rPr>
                <w:rFonts w:ascii="宋体" w:hAnsi="宋体" w:cs="宋体"/>
                <w:sz w:val="20"/>
                <w:szCs w:val="20"/>
              </w:rPr>
              <w:t>2</w:t>
            </w:r>
            <w:r w:rsidRPr="003316D6">
              <w:rPr>
                <w:rFonts w:ascii="宋体" w:hAnsi="宋体" w:cs="宋体" w:hint="eastAsia"/>
                <w:sz w:val="20"/>
                <w:szCs w:val="20"/>
              </w:rPr>
              <w:t>家财务公司、</w:t>
            </w:r>
            <w:r w:rsidRPr="003316D6">
              <w:rPr>
                <w:rFonts w:ascii="宋体" w:hAnsi="宋体" w:cs="宋体"/>
                <w:sz w:val="20"/>
                <w:szCs w:val="20"/>
              </w:rPr>
              <w:t>3</w:t>
            </w:r>
            <w:r w:rsidRPr="003316D6">
              <w:rPr>
                <w:rFonts w:ascii="宋体" w:hAnsi="宋体" w:cs="宋体" w:hint="eastAsia"/>
                <w:sz w:val="20"/>
                <w:szCs w:val="20"/>
              </w:rPr>
              <w:t>家券商和</w:t>
            </w:r>
            <w:r w:rsidRPr="003316D6">
              <w:rPr>
                <w:rFonts w:ascii="宋体" w:hAnsi="宋体" w:cs="宋体"/>
                <w:sz w:val="20"/>
                <w:szCs w:val="20"/>
              </w:rPr>
              <w:t>3</w:t>
            </w:r>
            <w:r w:rsidRPr="003316D6">
              <w:rPr>
                <w:rFonts w:ascii="宋体" w:hAnsi="宋体" w:cs="宋体" w:hint="eastAsia"/>
                <w:sz w:val="20"/>
                <w:szCs w:val="20"/>
              </w:rPr>
              <w:t>家基金公司。未来，上海票交所将搭建票据交易平台、风险防范平台、货币政策操作平台、业务创新平台以及信息平台等五大模块。上海票交所成立当日，工商银行和农业银行完成首笔票据转贴现交易，浦发银行完成首笔票据质押式回购交易，招商银行与民生银行完成首笔商票交易，平安银行与华泰证券完成首笔非法人产品交易。</w:t>
            </w:r>
          </w:p>
          <w:p w:rsidR="000F5E2C" w:rsidRPr="003316D6" w:rsidRDefault="000F5E2C" w:rsidP="00E4632A">
            <w:pPr>
              <w:widowControl/>
              <w:snapToGrid w:val="0"/>
              <w:rPr>
                <w:rFonts w:ascii="宋体" w:cs="Times New Roman"/>
                <w:sz w:val="20"/>
                <w:szCs w:val="20"/>
              </w:rPr>
            </w:pPr>
          </w:p>
        </w:tc>
        <w:tc>
          <w:tcPr>
            <w:tcW w:w="4820" w:type="dxa"/>
            <w:vAlign w:val="center"/>
          </w:tcPr>
          <w:p w:rsidR="000F5E2C" w:rsidRDefault="000F5E2C" w:rsidP="00E4632A">
            <w:pPr>
              <w:snapToGrid w:val="0"/>
              <w:rPr>
                <w:rFonts w:ascii="宋体" w:cs="Times New Roman"/>
                <w:sz w:val="20"/>
                <w:szCs w:val="20"/>
              </w:rPr>
            </w:pPr>
            <w:r w:rsidRPr="003316D6">
              <w:rPr>
                <w:rFonts w:ascii="宋体" w:hAnsi="宋体" w:cs="宋体" w:hint="eastAsia"/>
                <w:sz w:val="20"/>
                <w:szCs w:val="20"/>
              </w:rPr>
              <w:t>一是市场参与主体多元。符合条件的银行及非银行金融机构等均可参与票据交易。</w:t>
            </w:r>
          </w:p>
          <w:p w:rsidR="000F5E2C" w:rsidRPr="003316D6" w:rsidRDefault="000F5E2C" w:rsidP="00C21FE2">
            <w:pPr>
              <w:snapToGrid w:val="0"/>
              <w:rPr>
                <w:rFonts w:ascii="宋体" w:cs="Times New Roman"/>
                <w:sz w:val="20"/>
                <w:szCs w:val="20"/>
              </w:rPr>
            </w:pPr>
            <w:r>
              <w:rPr>
                <w:rFonts w:ascii="宋体" w:hAnsi="宋体" w:cs="宋体" w:hint="eastAsia"/>
                <w:sz w:val="20"/>
                <w:szCs w:val="20"/>
              </w:rPr>
              <w:t>二</w:t>
            </w:r>
            <w:r w:rsidRPr="003316D6">
              <w:rPr>
                <w:rFonts w:ascii="宋体" w:hAnsi="宋体" w:cs="宋体" w:hint="eastAsia"/>
                <w:sz w:val="20"/>
                <w:szCs w:val="20"/>
              </w:rPr>
              <w:t>是实现票据交易电子化。具有纸质票据电子化交易、无纸化托收等多种功能。</w:t>
            </w:r>
          </w:p>
          <w:p w:rsidR="000F5E2C" w:rsidRDefault="000F5E2C" w:rsidP="00E4632A">
            <w:pPr>
              <w:snapToGrid w:val="0"/>
              <w:rPr>
                <w:rFonts w:ascii="宋体" w:cs="Times New Roman"/>
                <w:sz w:val="20"/>
                <w:szCs w:val="20"/>
              </w:rPr>
            </w:pPr>
            <w:r>
              <w:rPr>
                <w:rFonts w:ascii="宋体" w:hAnsi="宋体" w:cs="宋体" w:hint="eastAsia"/>
                <w:sz w:val="20"/>
                <w:szCs w:val="20"/>
              </w:rPr>
              <w:t>三</w:t>
            </w:r>
            <w:r w:rsidRPr="003316D6">
              <w:rPr>
                <w:rFonts w:ascii="宋体" w:hAnsi="宋体" w:cs="宋体" w:hint="eastAsia"/>
                <w:sz w:val="20"/>
                <w:szCs w:val="20"/>
              </w:rPr>
              <w:t>是通过交易所制度安排</w:t>
            </w:r>
            <w:r w:rsidRPr="003316D6">
              <w:rPr>
                <w:rFonts w:ascii="宋体" w:cs="宋体"/>
                <w:sz w:val="20"/>
                <w:szCs w:val="20"/>
              </w:rPr>
              <w:t>,</w:t>
            </w:r>
            <w:r w:rsidRPr="003316D6">
              <w:rPr>
                <w:rFonts w:ascii="宋体" w:hAnsi="宋体" w:cs="宋体" w:hint="eastAsia"/>
                <w:sz w:val="20"/>
                <w:szCs w:val="20"/>
              </w:rPr>
              <w:t>强化票据交易全流程监控和风险防控。</w:t>
            </w:r>
          </w:p>
          <w:p w:rsidR="000F5E2C" w:rsidRDefault="000F5E2C" w:rsidP="00E4632A">
            <w:pPr>
              <w:snapToGrid w:val="0"/>
              <w:rPr>
                <w:rFonts w:ascii="宋体" w:cs="Times New Roman"/>
                <w:sz w:val="20"/>
                <w:szCs w:val="20"/>
              </w:rPr>
            </w:pPr>
            <w:r>
              <w:rPr>
                <w:rFonts w:ascii="宋体" w:hAnsi="宋体" w:cs="宋体" w:hint="eastAsia"/>
                <w:sz w:val="20"/>
                <w:szCs w:val="20"/>
              </w:rPr>
              <w:t>四</w:t>
            </w:r>
            <w:r w:rsidRPr="003316D6">
              <w:rPr>
                <w:rFonts w:ascii="宋体" w:hAnsi="宋体" w:cs="宋体" w:hint="eastAsia"/>
                <w:sz w:val="20"/>
                <w:szCs w:val="20"/>
              </w:rPr>
              <w:t>是提供票据业务产品创新平台</w:t>
            </w:r>
            <w:r>
              <w:rPr>
                <w:rFonts w:ascii="宋体" w:hAnsi="宋体" w:cs="宋体" w:hint="eastAsia"/>
                <w:sz w:val="20"/>
                <w:szCs w:val="20"/>
              </w:rPr>
              <w:t>。</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C21FE2"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3670" w:type="dxa"/>
            <w:vAlign w:val="center"/>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一是有利于</w:t>
            </w:r>
            <w:r>
              <w:rPr>
                <w:rFonts w:ascii="宋体" w:hAnsi="宋体" w:cs="宋体" w:hint="eastAsia"/>
                <w:sz w:val="20"/>
                <w:szCs w:val="20"/>
              </w:rPr>
              <w:t>完善</w:t>
            </w:r>
            <w:r w:rsidRPr="003316D6">
              <w:rPr>
                <w:rFonts w:ascii="宋体" w:hAnsi="宋体" w:cs="宋体" w:hint="eastAsia"/>
                <w:sz w:val="20"/>
                <w:szCs w:val="20"/>
              </w:rPr>
              <w:t>票据市场法规制度，推动票据业务创新，防范票据市场风险，推进票据市场向公开规范统一的市场发展。</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二是有利于完善中央银行金融调控，优化货币政策传导机制，促进利率市场化改革、培育市场信用体系和降低实体经济融资成本。</w:t>
            </w:r>
          </w:p>
          <w:p w:rsidR="000F5E2C" w:rsidRDefault="000F5E2C" w:rsidP="00E4632A">
            <w:pPr>
              <w:snapToGrid w:val="0"/>
              <w:rPr>
                <w:rFonts w:ascii="宋体" w:cs="Times New Roman"/>
                <w:sz w:val="20"/>
                <w:szCs w:val="20"/>
              </w:rPr>
            </w:pPr>
            <w:r w:rsidRPr="003316D6">
              <w:rPr>
                <w:rFonts w:ascii="宋体" w:hAnsi="宋体" w:cs="宋体" w:hint="eastAsia"/>
                <w:sz w:val="20"/>
                <w:szCs w:val="20"/>
              </w:rPr>
              <w:t>三是有利于进一步健全上海金融要素市场构成和金融基础设施布局，提升上海国际金融中心的功能和影响力。</w:t>
            </w: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Default="000F5E2C" w:rsidP="00E4632A">
            <w:pPr>
              <w:widowControl/>
              <w:snapToGrid w:val="0"/>
              <w:rPr>
                <w:rFonts w:ascii="宋体" w:cs="Times New Roman"/>
                <w:sz w:val="20"/>
                <w:szCs w:val="20"/>
              </w:rPr>
            </w:pPr>
          </w:p>
          <w:p w:rsidR="000F5E2C" w:rsidRPr="003316D6" w:rsidRDefault="000F5E2C" w:rsidP="00E4632A">
            <w:pPr>
              <w:widowControl/>
              <w:snapToGrid w:val="0"/>
              <w:rPr>
                <w:rFonts w:ascii="宋体" w:cs="Times New Roman"/>
                <w:sz w:val="20"/>
                <w:szCs w:val="20"/>
              </w:rPr>
            </w:pPr>
          </w:p>
        </w:tc>
      </w:tr>
      <w:tr w:rsidR="000F5E2C" w:rsidRPr="003316D6">
        <w:trPr>
          <w:trHeight w:val="78"/>
          <w:jc w:val="center"/>
        </w:trPr>
        <w:tc>
          <w:tcPr>
            <w:tcW w:w="700" w:type="dxa"/>
          </w:tcPr>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7</w:t>
            </w:r>
          </w:p>
        </w:tc>
        <w:tc>
          <w:tcPr>
            <w:tcW w:w="762" w:type="dxa"/>
            <w:vAlign w:val="center"/>
          </w:tcPr>
          <w:p w:rsidR="000F5E2C" w:rsidRPr="003316D6" w:rsidRDefault="000F5E2C" w:rsidP="009C5AB4">
            <w:pPr>
              <w:snapToGrid w:val="0"/>
              <w:jc w:val="center"/>
              <w:rPr>
                <w:rFonts w:ascii="宋体" w:cs="Times New Roman"/>
                <w:sz w:val="20"/>
                <w:szCs w:val="20"/>
              </w:rPr>
            </w:pPr>
            <w:r w:rsidRPr="003316D6">
              <w:rPr>
                <w:rFonts w:ascii="宋体" w:hAnsi="宋体" w:cs="宋体" w:hint="eastAsia"/>
                <w:sz w:val="20"/>
                <w:szCs w:val="20"/>
              </w:rPr>
              <w:t>金融市场创新</w:t>
            </w:r>
          </w:p>
          <w:p w:rsidR="000F5E2C" w:rsidRPr="003316D6" w:rsidRDefault="000F5E2C" w:rsidP="009C5AB4">
            <w:pPr>
              <w:snapToGrid w:val="0"/>
              <w:jc w:val="center"/>
              <w:rPr>
                <w:rFonts w:ascii="宋体" w:cs="Times New Roman"/>
                <w:sz w:val="20"/>
                <w:szCs w:val="20"/>
              </w:rPr>
            </w:pPr>
          </w:p>
          <w:p w:rsidR="000F5E2C" w:rsidRPr="003316D6" w:rsidRDefault="000F5E2C" w:rsidP="009C5AB4">
            <w:pPr>
              <w:snapToGrid w:val="0"/>
              <w:jc w:val="center"/>
              <w:rPr>
                <w:rFonts w:ascii="宋体" w:cs="Times New Roman"/>
                <w:sz w:val="20"/>
                <w:szCs w:val="20"/>
              </w:rPr>
            </w:pPr>
          </w:p>
        </w:tc>
        <w:tc>
          <w:tcPr>
            <w:tcW w:w="1418" w:type="dxa"/>
            <w:vAlign w:val="center"/>
          </w:tcPr>
          <w:p w:rsidR="000F5E2C" w:rsidRPr="003316D6" w:rsidRDefault="000F5E2C" w:rsidP="009C5AB4">
            <w:pPr>
              <w:snapToGrid w:val="0"/>
              <w:jc w:val="left"/>
              <w:rPr>
                <w:rFonts w:ascii="宋体" w:cs="Times New Roman"/>
                <w:sz w:val="20"/>
                <w:szCs w:val="20"/>
              </w:rPr>
            </w:pPr>
            <w:r w:rsidRPr="003316D6">
              <w:rPr>
                <w:rFonts w:ascii="宋体" w:hAnsi="宋体" w:cs="宋体" w:hint="eastAsia"/>
                <w:sz w:val="20"/>
                <w:szCs w:val="20"/>
              </w:rPr>
              <w:t>中国信托登记公司成立</w:t>
            </w:r>
          </w:p>
          <w:p w:rsidR="000F5E2C" w:rsidRPr="003316D6" w:rsidRDefault="000F5E2C" w:rsidP="009C5AB4">
            <w:pPr>
              <w:snapToGrid w:val="0"/>
              <w:jc w:val="left"/>
              <w:rPr>
                <w:rFonts w:ascii="宋体" w:cs="Times New Roman"/>
                <w:sz w:val="20"/>
                <w:szCs w:val="20"/>
              </w:rPr>
            </w:pPr>
          </w:p>
          <w:p w:rsidR="000F5E2C" w:rsidRPr="003316D6" w:rsidRDefault="000F5E2C" w:rsidP="009C5AB4">
            <w:pPr>
              <w:snapToGrid w:val="0"/>
              <w:jc w:val="left"/>
              <w:rPr>
                <w:rFonts w:ascii="宋体" w:cs="Times New Roman"/>
                <w:sz w:val="20"/>
                <w:szCs w:val="20"/>
              </w:rPr>
            </w:pPr>
          </w:p>
          <w:p w:rsidR="000F5E2C" w:rsidRPr="003316D6" w:rsidRDefault="000F5E2C" w:rsidP="009C5AB4">
            <w:pPr>
              <w:snapToGrid w:val="0"/>
              <w:jc w:val="left"/>
              <w:rPr>
                <w:rFonts w:ascii="宋体" w:cs="Times New Roman"/>
                <w:sz w:val="20"/>
                <w:szCs w:val="20"/>
              </w:rPr>
            </w:pPr>
          </w:p>
        </w:tc>
        <w:tc>
          <w:tcPr>
            <w:tcW w:w="4819" w:type="dxa"/>
            <w:vAlign w:val="center"/>
          </w:tcPr>
          <w:p w:rsidR="000F5E2C" w:rsidRDefault="000F5E2C" w:rsidP="00E4632A">
            <w:pPr>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12</w:t>
            </w:r>
            <w:r w:rsidRPr="003316D6">
              <w:rPr>
                <w:rFonts w:ascii="宋体" w:hAnsi="宋体" w:cs="宋体" w:hint="eastAsia"/>
                <w:sz w:val="20"/>
                <w:szCs w:val="20"/>
              </w:rPr>
              <w:t>月</w:t>
            </w:r>
            <w:r w:rsidRPr="003316D6">
              <w:rPr>
                <w:rFonts w:ascii="宋体" w:hAnsi="宋体" w:cs="宋体"/>
                <w:sz w:val="20"/>
                <w:szCs w:val="20"/>
              </w:rPr>
              <w:t>26</w:t>
            </w:r>
            <w:r w:rsidRPr="003316D6">
              <w:rPr>
                <w:rFonts w:ascii="宋体" w:hAnsi="宋体" w:cs="宋体" w:hint="eastAsia"/>
                <w:sz w:val="20"/>
                <w:szCs w:val="20"/>
              </w:rPr>
              <w:t>日，中国信托登记公司在上海挂牌成立（以下简称“中国信登”），中国信登是经国务院同意，由银监会批准设立并直接监管的全国唯一的信托登记机构。中国信登注册形式为有限责任公司，注册资本</w:t>
            </w:r>
            <w:r w:rsidRPr="003316D6">
              <w:rPr>
                <w:rFonts w:ascii="宋体" w:hAnsi="宋体" w:cs="宋体"/>
                <w:sz w:val="20"/>
                <w:szCs w:val="20"/>
              </w:rPr>
              <w:t>30</w:t>
            </w:r>
            <w:r w:rsidRPr="003316D6">
              <w:rPr>
                <w:rFonts w:ascii="宋体" w:hAnsi="宋体" w:cs="宋体" w:hint="eastAsia"/>
                <w:sz w:val="20"/>
                <w:szCs w:val="20"/>
              </w:rPr>
              <w:t>亿元，由中央国债登记结算公司、中国信托业协会、中国信托业保障基金、中国信托、上海信托、上海陆家嘴金融发展公司等</w:t>
            </w:r>
            <w:r w:rsidRPr="003316D6">
              <w:rPr>
                <w:rFonts w:ascii="宋体" w:hAnsi="宋体" w:cs="宋体"/>
                <w:sz w:val="20"/>
                <w:szCs w:val="20"/>
              </w:rPr>
              <w:t>22</w:t>
            </w:r>
            <w:r w:rsidRPr="003316D6">
              <w:rPr>
                <w:rFonts w:ascii="宋体" w:hAnsi="宋体" w:cs="宋体" w:hint="eastAsia"/>
                <w:sz w:val="20"/>
                <w:szCs w:val="20"/>
              </w:rPr>
              <w:t>家股东共同设立。中国信登以市场化方式运作，将打造“全国信托产品集中登记平台”、“信托产品统一发行交易流转平台”和“信托业运行监测平台”的核心功能。</w:t>
            </w: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4820" w:type="dxa"/>
            <w:vAlign w:val="center"/>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一是实现对全国信托产品、信托受益权的集中登记，规范信托产品的统计和信息披露，履行信托产品查询、咨询等职能。</w:t>
            </w:r>
          </w:p>
          <w:p w:rsidR="000F5E2C" w:rsidRDefault="000F5E2C" w:rsidP="00E4632A">
            <w:pPr>
              <w:snapToGrid w:val="0"/>
              <w:rPr>
                <w:rFonts w:ascii="宋体" w:cs="Times New Roman"/>
                <w:sz w:val="20"/>
                <w:szCs w:val="20"/>
              </w:rPr>
            </w:pPr>
            <w:r w:rsidRPr="003316D6">
              <w:rPr>
                <w:rFonts w:ascii="宋体" w:hAnsi="宋体" w:cs="宋体" w:hint="eastAsia"/>
                <w:sz w:val="20"/>
                <w:szCs w:val="20"/>
              </w:rPr>
              <w:t>二是解决信托行业信息不对称及信托产品的非标转标以及财产权风险隔离等问题，盘活存量资产。</w:t>
            </w:r>
          </w:p>
          <w:p w:rsidR="000F5E2C" w:rsidRPr="003316D6"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3670" w:type="dxa"/>
            <w:vAlign w:val="center"/>
          </w:tcPr>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一是为我国完善规范信托产品交易市场，提高信托资产流动性发挥重要平台支撑。</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二是通过对信托产品实行集中登记等方式，将为金融管理部门对信托业开展实时监测，提高信托业监管及时性和有效性等方面提供重要决策支撑与参考。</w:t>
            </w:r>
          </w:p>
          <w:p w:rsidR="000F5E2C" w:rsidRDefault="000F5E2C" w:rsidP="00E4632A">
            <w:pPr>
              <w:snapToGrid w:val="0"/>
              <w:rPr>
                <w:rFonts w:ascii="宋体" w:cs="Times New Roman"/>
                <w:sz w:val="20"/>
                <w:szCs w:val="20"/>
              </w:rPr>
            </w:pPr>
            <w:r w:rsidRPr="003316D6">
              <w:rPr>
                <w:rFonts w:ascii="宋体" w:hAnsi="宋体" w:cs="宋体" w:hint="eastAsia"/>
                <w:sz w:val="20"/>
                <w:szCs w:val="20"/>
              </w:rPr>
              <w:t>三是有利于进一步健全上海金融要素市场构成和金融基础设施布局，提升上海国际金融中心的功能和影响力。</w:t>
            </w:r>
          </w:p>
          <w:p w:rsidR="000F5E2C"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r>
      <w:tr w:rsidR="000F5E2C" w:rsidRPr="003316D6">
        <w:trPr>
          <w:trHeight w:val="78"/>
          <w:jc w:val="center"/>
        </w:trPr>
        <w:tc>
          <w:tcPr>
            <w:tcW w:w="700" w:type="dxa"/>
          </w:tcPr>
          <w:p w:rsidR="000F5E2C" w:rsidRPr="00241F33"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tcPr>
          <w:p w:rsidR="000F5E2C" w:rsidRPr="00241F33"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8</w:t>
            </w:r>
          </w:p>
        </w:tc>
        <w:tc>
          <w:tcPr>
            <w:tcW w:w="762" w:type="dxa"/>
            <w:vAlign w:val="center"/>
          </w:tcPr>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金融市场创新</w:t>
            </w:r>
          </w:p>
          <w:p w:rsidR="000F5E2C" w:rsidRPr="003316D6" w:rsidRDefault="000F5E2C" w:rsidP="009C5AB4">
            <w:pPr>
              <w:jc w:val="center"/>
              <w:rPr>
                <w:rFonts w:ascii="宋体" w:cs="Times New Roman"/>
                <w:sz w:val="20"/>
                <w:szCs w:val="20"/>
              </w:rPr>
            </w:pPr>
          </w:p>
        </w:tc>
        <w:tc>
          <w:tcPr>
            <w:tcW w:w="1418" w:type="dxa"/>
            <w:vAlign w:val="center"/>
          </w:tcPr>
          <w:p w:rsidR="000F5E2C" w:rsidRDefault="000F5E2C" w:rsidP="009C5AB4">
            <w:pPr>
              <w:jc w:val="left"/>
              <w:rPr>
                <w:rFonts w:ascii="宋体" w:cs="Times New Roman"/>
                <w:sz w:val="20"/>
                <w:szCs w:val="20"/>
              </w:rPr>
            </w:pPr>
            <w:r w:rsidRPr="003316D6">
              <w:rPr>
                <w:rFonts w:ascii="宋体" w:hAnsi="宋体" w:cs="宋体" w:hint="eastAsia"/>
                <w:sz w:val="20"/>
                <w:szCs w:val="20"/>
              </w:rPr>
              <w:t>“易金通”移动互联网黄金交易系统</w:t>
            </w:r>
          </w:p>
          <w:p w:rsidR="000F5E2C" w:rsidRPr="003316D6" w:rsidRDefault="000F5E2C" w:rsidP="009C5AB4">
            <w:pPr>
              <w:jc w:val="left"/>
              <w:rPr>
                <w:rFonts w:ascii="宋体" w:cs="Times New Roman"/>
                <w:sz w:val="20"/>
                <w:szCs w:val="20"/>
              </w:rPr>
            </w:pPr>
          </w:p>
        </w:tc>
        <w:tc>
          <w:tcPr>
            <w:tcW w:w="4819" w:type="dxa"/>
            <w:vAlign w:val="center"/>
          </w:tcPr>
          <w:p w:rsidR="000F5E2C" w:rsidRDefault="000F5E2C" w:rsidP="00E4632A">
            <w:pPr>
              <w:snapToGrid w:val="0"/>
              <w:rPr>
                <w:rFonts w:ascii="宋体" w:cs="Times New Roman"/>
                <w:sz w:val="20"/>
                <w:szCs w:val="20"/>
              </w:rPr>
            </w:pPr>
            <w:r w:rsidRPr="003316D6">
              <w:rPr>
                <w:rFonts w:ascii="宋体" w:hAnsi="宋体" w:cs="宋体" w:hint="eastAsia"/>
                <w:sz w:val="20"/>
                <w:szCs w:val="20"/>
              </w:rPr>
              <w:t>“易金通”移动互联网黄金交易系统（以下简称“易金通”）是上海黄金交易所（以下简称“金交所”）联合各会员单位共同推出的手机一站式交易软件。囊括行情资讯、交易、查询、开户、资产运用等功能于一体，融专业、权威、便捷于一身，便于百姓配置及运用黄金资产保值增值。</w:t>
            </w: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4820" w:type="dxa"/>
            <w:vAlign w:val="center"/>
          </w:tcPr>
          <w:p w:rsidR="000F5E2C" w:rsidRPr="003316D6" w:rsidRDefault="000F5E2C" w:rsidP="00E4632A">
            <w:pPr>
              <w:pStyle w:val="NoSpacing"/>
              <w:snapToGrid w:val="0"/>
              <w:rPr>
                <w:rFonts w:ascii="宋体" w:cs="Times New Roman"/>
                <w:sz w:val="20"/>
                <w:szCs w:val="20"/>
              </w:rPr>
            </w:pPr>
            <w:r w:rsidRPr="003316D6">
              <w:rPr>
                <w:rFonts w:ascii="宋体" w:hAnsi="宋体" w:cs="宋体" w:hint="eastAsia"/>
                <w:sz w:val="20"/>
                <w:szCs w:val="20"/>
              </w:rPr>
              <w:t>一是业内首创交易所直推移动终端。区别于其他市场各类交易终端由代理机构推出、行情等通过代理机构转接的特点，“易金通”运用移动互联网技术，黄金交易行情直连交易所，畅通黄金投资渠道。</w:t>
            </w:r>
          </w:p>
          <w:p w:rsidR="000F5E2C" w:rsidRPr="003316D6" w:rsidRDefault="000F5E2C" w:rsidP="00E4632A">
            <w:pPr>
              <w:pStyle w:val="NoSpacing"/>
              <w:snapToGrid w:val="0"/>
              <w:rPr>
                <w:rFonts w:ascii="宋体" w:cs="Times New Roman"/>
                <w:sz w:val="20"/>
                <w:szCs w:val="20"/>
              </w:rPr>
            </w:pPr>
            <w:r w:rsidRPr="003316D6">
              <w:rPr>
                <w:rFonts w:ascii="宋体" w:hAnsi="宋体" w:cs="宋体" w:hint="eastAsia"/>
                <w:sz w:val="20"/>
                <w:szCs w:val="20"/>
              </w:rPr>
              <w:t>二是交易终端服务功能齐备。“易金通”不但提供现货和延期合约的交易功能，还提供交割申报、中立仓申报、提货等操作，方便投资者进行一站式黄金投资交易操作。</w:t>
            </w:r>
          </w:p>
          <w:p w:rsidR="000F5E2C" w:rsidRDefault="000F5E2C" w:rsidP="00E4632A">
            <w:pPr>
              <w:snapToGrid w:val="0"/>
              <w:rPr>
                <w:rFonts w:ascii="宋体" w:cs="Times New Roman"/>
                <w:sz w:val="20"/>
                <w:szCs w:val="20"/>
              </w:rPr>
            </w:pPr>
            <w:r w:rsidRPr="003316D6">
              <w:rPr>
                <w:rFonts w:ascii="宋体" w:hAnsi="宋体" w:cs="宋体" w:hint="eastAsia"/>
                <w:sz w:val="20"/>
                <w:szCs w:val="20"/>
              </w:rPr>
              <w:t>三是基于安全认证的黄金经纪业务远程开户设计。“易金通”引入身份证图像识别，银行卡校验等安全认证技术，突破黄金经纪行业现有现场开户制度，投资者凭有效身份证件通过手机提供个人信息并签署电子协议后，即可由会员单位通过在线模式为投资者办理开户。</w:t>
            </w: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c>
          <w:tcPr>
            <w:tcW w:w="3670" w:type="dxa"/>
            <w:vAlign w:val="center"/>
          </w:tcPr>
          <w:p w:rsidR="000F5E2C" w:rsidRPr="003316D6" w:rsidRDefault="000F5E2C" w:rsidP="00E4632A">
            <w:pPr>
              <w:pStyle w:val="NoSpacing"/>
              <w:snapToGrid w:val="0"/>
              <w:rPr>
                <w:rFonts w:ascii="宋体" w:cs="Times New Roman"/>
                <w:sz w:val="20"/>
                <w:szCs w:val="20"/>
              </w:rPr>
            </w:pPr>
            <w:r w:rsidRPr="003316D6">
              <w:rPr>
                <w:rFonts w:ascii="宋体" w:hAnsi="宋体" w:cs="宋体" w:hint="eastAsia"/>
                <w:sz w:val="20"/>
                <w:szCs w:val="20"/>
              </w:rPr>
              <w:t>一是“易金通”在代理模式、交易品种、交易规则、交易指令等方面进行规范，有利于引导投资者安全选择正规交易系统参与黄金市场交易</w:t>
            </w:r>
            <w:r>
              <w:rPr>
                <w:rFonts w:ascii="宋体" w:cs="宋体"/>
                <w:sz w:val="20"/>
                <w:szCs w:val="20"/>
              </w:rPr>
              <w:t>,</w:t>
            </w:r>
            <w:r>
              <w:rPr>
                <w:rFonts w:ascii="宋体" w:hAnsi="宋体" w:cs="宋体" w:hint="eastAsia"/>
                <w:sz w:val="20"/>
                <w:szCs w:val="20"/>
              </w:rPr>
              <w:t>促进黄金市场规范发展。</w:t>
            </w:r>
          </w:p>
          <w:p w:rsidR="000F5E2C" w:rsidRPr="003316D6" w:rsidRDefault="000F5E2C" w:rsidP="00E4632A">
            <w:pPr>
              <w:snapToGrid w:val="0"/>
              <w:rPr>
                <w:rFonts w:ascii="宋体" w:cs="Times New Roman"/>
                <w:sz w:val="20"/>
                <w:szCs w:val="20"/>
              </w:rPr>
            </w:pPr>
            <w:r w:rsidRPr="003316D6">
              <w:rPr>
                <w:rFonts w:ascii="宋体" w:hAnsi="宋体" w:cs="宋体" w:hint="eastAsia"/>
                <w:sz w:val="20"/>
                <w:szCs w:val="20"/>
              </w:rPr>
              <w:t>二是为广大投资者提供了便利、安全、高效的黄金交易操作平台，为投资者提供黄金资产配置、保值增值增添新型投资渠道。</w:t>
            </w: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p w:rsidR="000F5E2C" w:rsidRPr="003316D6" w:rsidRDefault="000F5E2C" w:rsidP="00E4632A">
            <w:pPr>
              <w:snapToGrid w:val="0"/>
              <w:rPr>
                <w:rFonts w:ascii="宋体" w:cs="Times New Roman"/>
                <w:sz w:val="20"/>
                <w:szCs w:val="20"/>
              </w:rPr>
            </w:pPr>
          </w:p>
        </w:tc>
      </w:tr>
      <w:tr w:rsidR="000F5E2C" w:rsidRPr="003316D6">
        <w:trPr>
          <w:trHeight w:val="78"/>
          <w:jc w:val="center"/>
        </w:trPr>
        <w:tc>
          <w:tcPr>
            <w:tcW w:w="700" w:type="dxa"/>
          </w:tcPr>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Default="000F5E2C" w:rsidP="00C37854">
            <w:pPr>
              <w:jc w:val="center"/>
              <w:rPr>
                <w:rFonts w:ascii="宋体" w:cs="Times New Roman"/>
                <w:color w:val="000000"/>
                <w:sz w:val="20"/>
                <w:szCs w:val="20"/>
              </w:rPr>
            </w:pPr>
          </w:p>
          <w:p w:rsidR="000F5E2C" w:rsidRPr="003316D6" w:rsidRDefault="000F5E2C" w:rsidP="00C37854">
            <w:pPr>
              <w:jc w:val="center"/>
              <w:rPr>
                <w:rFonts w:ascii="宋体" w:cs="Times New Roman"/>
                <w:color w:val="000000"/>
                <w:sz w:val="20"/>
                <w:szCs w:val="20"/>
              </w:rPr>
            </w:pPr>
            <w:r w:rsidRPr="003316D6">
              <w:rPr>
                <w:rFonts w:ascii="宋体" w:hAnsi="宋体" w:cs="宋体"/>
                <w:color w:val="000000"/>
                <w:sz w:val="20"/>
                <w:szCs w:val="20"/>
              </w:rPr>
              <w:t>9</w:t>
            </w:r>
          </w:p>
        </w:tc>
        <w:tc>
          <w:tcPr>
            <w:tcW w:w="762" w:type="dxa"/>
            <w:vAlign w:val="center"/>
          </w:tcPr>
          <w:p w:rsidR="000F5E2C" w:rsidRDefault="000F5E2C" w:rsidP="009C5AB4">
            <w:pPr>
              <w:jc w:val="center"/>
              <w:rPr>
                <w:rFonts w:ascii="宋体" w:cs="Times New Roman"/>
                <w:sz w:val="20"/>
                <w:szCs w:val="20"/>
              </w:rPr>
            </w:pPr>
          </w:p>
          <w:p w:rsidR="000F5E2C" w:rsidRDefault="000F5E2C" w:rsidP="009C5AB4">
            <w:pPr>
              <w:jc w:val="center"/>
              <w:rPr>
                <w:rFonts w:ascii="宋体" w:cs="Times New Roman"/>
                <w:sz w:val="20"/>
                <w:szCs w:val="20"/>
              </w:rPr>
            </w:pPr>
          </w:p>
          <w:p w:rsidR="000F5E2C"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金融机构创新</w:t>
            </w: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tc>
        <w:tc>
          <w:tcPr>
            <w:tcW w:w="1418" w:type="dxa"/>
          </w:tcPr>
          <w:p w:rsidR="000F5E2C" w:rsidRPr="003316D6" w:rsidRDefault="000F5E2C" w:rsidP="009C5AB4">
            <w:pPr>
              <w:jc w:val="left"/>
              <w:rPr>
                <w:rFonts w:ascii="宋体" w:cs="Times New Roman"/>
                <w:sz w:val="20"/>
                <w:szCs w:val="20"/>
              </w:rPr>
            </w:pPr>
          </w:p>
          <w:p w:rsidR="000F5E2C" w:rsidRDefault="000F5E2C" w:rsidP="009C5AB4">
            <w:pPr>
              <w:rPr>
                <w:rFonts w:ascii="宋体" w:cs="Times New Roman"/>
                <w:sz w:val="20"/>
                <w:szCs w:val="20"/>
              </w:rPr>
            </w:pPr>
          </w:p>
          <w:p w:rsidR="000F5E2C" w:rsidRDefault="000F5E2C" w:rsidP="009C5AB4">
            <w:pPr>
              <w:rPr>
                <w:rFonts w:ascii="宋体" w:cs="Times New Roman"/>
                <w:sz w:val="20"/>
                <w:szCs w:val="20"/>
              </w:rPr>
            </w:pPr>
          </w:p>
          <w:p w:rsidR="000F5E2C" w:rsidRDefault="000F5E2C" w:rsidP="009C5AB4">
            <w:pPr>
              <w:rPr>
                <w:rFonts w:ascii="宋体" w:cs="Times New Roman"/>
                <w:sz w:val="20"/>
                <w:szCs w:val="20"/>
              </w:rPr>
            </w:pPr>
          </w:p>
          <w:p w:rsidR="000F5E2C" w:rsidRPr="003316D6" w:rsidRDefault="000F5E2C" w:rsidP="009C5AB4">
            <w:pPr>
              <w:rPr>
                <w:rFonts w:ascii="宋体" w:cs="Times New Roman"/>
                <w:sz w:val="20"/>
                <w:szCs w:val="20"/>
              </w:rPr>
            </w:pPr>
            <w:r w:rsidRPr="003316D6">
              <w:rPr>
                <w:rFonts w:ascii="宋体" w:hAnsi="宋体" w:cs="宋体" w:hint="eastAsia"/>
                <w:sz w:val="20"/>
                <w:szCs w:val="20"/>
              </w:rPr>
              <w:t>首批“</w:t>
            </w:r>
            <w:r w:rsidRPr="003316D6">
              <w:rPr>
                <w:rFonts w:ascii="宋体" w:hAnsi="宋体" w:cs="宋体"/>
                <w:sz w:val="20"/>
                <w:szCs w:val="20"/>
              </w:rPr>
              <w:t>CEPA</w:t>
            </w:r>
            <w:r w:rsidRPr="003316D6">
              <w:rPr>
                <w:rFonts w:ascii="宋体" w:hAnsi="宋体" w:cs="宋体" w:hint="eastAsia"/>
                <w:sz w:val="20"/>
                <w:szCs w:val="20"/>
              </w:rPr>
              <w:t>补充协议十”框架下</w:t>
            </w:r>
            <w:r>
              <w:rPr>
                <w:rFonts w:ascii="宋体" w:hAnsi="宋体" w:cs="宋体"/>
                <w:sz w:val="20"/>
                <w:szCs w:val="20"/>
              </w:rPr>
              <w:t>2</w:t>
            </w:r>
            <w:r>
              <w:rPr>
                <w:rFonts w:ascii="宋体" w:hAnsi="宋体" w:cs="宋体" w:hint="eastAsia"/>
                <w:sz w:val="20"/>
                <w:szCs w:val="20"/>
              </w:rPr>
              <w:t>家合资券商</w:t>
            </w:r>
            <w:r w:rsidRPr="003316D6">
              <w:rPr>
                <w:rFonts w:ascii="宋体" w:hAnsi="宋体" w:cs="宋体" w:hint="eastAsia"/>
                <w:sz w:val="20"/>
                <w:szCs w:val="20"/>
              </w:rPr>
              <w:t>申港证券</w:t>
            </w:r>
            <w:r>
              <w:rPr>
                <w:rFonts w:ascii="宋体" w:hAnsi="宋体" w:cs="宋体" w:hint="eastAsia"/>
                <w:sz w:val="20"/>
                <w:szCs w:val="20"/>
              </w:rPr>
              <w:t>与</w:t>
            </w:r>
            <w:r w:rsidRPr="003316D6">
              <w:rPr>
                <w:rFonts w:ascii="宋体" w:hAnsi="宋体" w:cs="宋体" w:hint="eastAsia"/>
                <w:sz w:val="20"/>
                <w:szCs w:val="20"/>
              </w:rPr>
              <w:t>华菁证券成立</w:t>
            </w:r>
          </w:p>
          <w:p w:rsidR="000F5E2C" w:rsidRDefault="000F5E2C" w:rsidP="009C5AB4">
            <w:pPr>
              <w:jc w:val="left"/>
              <w:rPr>
                <w:rFonts w:ascii="宋体" w:cs="Times New Roman"/>
                <w:sz w:val="20"/>
                <w:szCs w:val="20"/>
              </w:rPr>
            </w:pPr>
          </w:p>
          <w:p w:rsidR="000F5E2C" w:rsidRPr="003316D6" w:rsidRDefault="000F5E2C" w:rsidP="009C5AB4">
            <w:pPr>
              <w:jc w:val="left"/>
              <w:rPr>
                <w:rFonts w:ascii="宋体" w:cs="Times New Roman"/>
                <w:sz w:val="20"/>
                <w:szCs w:val="20"/>
              </w:rPr>
            </w:pPr>
          </w:p>
        </w:tc>
        <w:tc>
          <w:tcPr>
            <w:tcW w:w="4819" w:type="dxa"/>
          </w:tcPr>
          <w:p w:rsidR="000F5E2C" w:rsidRPr="003316D6" w:rsidRDefault="000F5E2C" w:rsidP="009C5AB4">
            <w:pPr>
              <w:widowControl/>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10</w:t>
            </w:r>
            <w:r w:rsidRPr="003316D6">
              <w:rPr>
                <w:rFonts w:ascii="宋体" w:hAnsi="宋体" w:cs="宋体" w:hint="eastAsia"/>
                <w:sz w:val="20"/>
                <w:szCs w:val="20"/>
              </w:rPr>
              <w:t>月</w:t>
            </w:r>
            <w:r w:rsidRPr="003316D6">
              <w:rPr>
                <w:rFonts w:ascii="宋体" w:hAnsi="宋体" w:cs="宋体"/>
                <w:sz w:val="20"/>
                <w:szCs w:val="20"/>
              </w:rPr>
              <w:t>18</w:t>
            </w:r>
            <w:r w:rsidRPr="003316D6">
              <w:rPr>
                <w:rFonts w:ascii="宋体" w:hAnsi="宋体" w:cs="宋体" w:hint="eastAsia"/>
                <w:sz w:val="20"/>
                <w:szCs w:val="20"/>
              </w:rPr>
              <w:t>日，申港证券在上海自贸试验区正式成立，公司注册资本</w:t>
            </w:r>
            <w:r w:rsidRPr="003316D6">
              <w:rPr>
                <w:rFonts w:ascii="宋体" w:hAnsi="宋体" w:cs="宋体"/>
                <w:sz w:val="20"/>
                <w:szCs w:val="20"/>
              </w:rPr>
              <w:t>35</w:t>
            </w:r>
            <w:r w:rsidRPr="003316D6">
              <w:rPr>
                <w:rFonts w:ascii="宋体" w:hAnsi="宋体" w:cs="宋体" w:hint="eastAsia"/>
                <w:sz w:val="20"/>
                <w:szCs w:val="20"/>
              </w:rPr>
              <w:t>亿元，由</w:t>
            </w:r>
            <w:r w:rsidRPr="003316D6">
              <w:rPr>
                <w:rFonts w:ascii="宋体" w:hAnsi="宋体" w:cs="宋体"/>
                <w:sz w:val="20"/>
                <w:szCs w:val="20"/>
              </w:rPr>
              <w:t>3</w:t>
            </w:r>
            <w:r w:rsidRPr="003316D6">
              <w:rPr>
                <w:rFonts w:ascii="宋体" w:hAnsi="宋体" w:cs="宋体" w:hint="eastAsia"/>
                <w:sz w:val="20"/>
                <w:szCs w:val="20"/>
              </w:rPr>
              <w:t>家香港持牌金融机构、</w:t>
            </w:r>
            <w:r w:rsidRPr="003316D6">
              <w:rPr>
                <w:rFonts w:ascii="宋体" w:hAnsi="宋体" w:cs="宋体"/>
                <w:sz w:val="20"/>
                <w:szCs w:val="20"/>
              </w:rPr>
              <w:t>11</w:t>
            </w:r>
            <w:r w:rsidRPr="003316D6">
              <w:rPr>
                <w:rFonts w:ascii="宋体" w:hAnsi="宋体" w:cs="宋体" w:hint="eastAsia"/>
                <w:sz w:val="20"/>
                <w:szCs w:val="20"/>
              </w:rPr>
              <w:t>家国内机构投资者共同发起成立，其中港资投资总额合计</w:t>
            </w:r>
            <w:r w:rsidRPr="003316D6">
              <w:rPr>
                <w:rFonts w:ascii="宋体" w:hAnsi="宋体" w:cs="宋体"/>
                <w:sz w:val="20"/>
                <w:szCs w:val="20"/>
              </w:rPr>
              <w:t>12.2</w:t>
            </w:r>
            <w:r w:rsidRPr="003316D6">
              <w:rPr>
                <w:rFonts w:ascii="宋体" w:hAnsi="宋体" w:cs="宋体" w:hint="eastAsia"/>
                <w:sz w:val="20"/>
                <w:szCs w:val="20"/>
              </w:rPr>
              <w:t>亿元，占总股本的</w:t>
            </w:r>
            <w:r w:rsidRPr="003316D6">
              <w:rPr>
                <w:rFonts w:ascii="宋体" w:hAnsi="宋体" w:cs="宋体"/>
                <w:sz w:val="20"/>
                <w:szCs w:val="20"/>
              </w:rPr>
              <w:t>34.86%</w:t>
            </w:r>
            <w:r w:rsidRPr="003316D6">
              <w:rPr>
                <w:rFonts w:ascii="宋体" w:hAnsi="宋体" w:cs="宋体" w:hint="eastAsia"/>
                <w:sz w:val="20"/>
                <w:szCs w:val="20"/>
              </w:rPr>
              <w:t>。</w:t>
            </w:r>
            <w:r w:rsidRPr="003316D6">
              <w:rPr>
                <w:rFonts w:ascii="宋体" w:hAnsi="宋体" w:cs="宋体"/>
                <w:sz w:val="20"/>
                <w:szCs w:val="20"/>
              </w:rPr>
              <w:t>11</w:t>
            </w:r>
            <w:r w:rsidRPr="003316D6">
              <w:rPr>
                <w:rFonts w:ascii="宋体" w:hAnsi="宋体" w:cs="宋体" w:hint="eastAsia"/>
                <w:sz w:val="20"/>
                <w:szCs w:val="20"/>
              </w:rPr>
              <w:t>月</w:t>
            </w:r>
            <w:r w:rsidRPr="003316D6">
              <w:rPr>
                <w:rFonts w:ascii="宋体" w:hAnsi="宋体" w:cs="宋体"/>
                <w:sz w:val="20"/>
                <w:szCs w:val="20"/>
              </w:rPr>
              <w:t>29</w:t>
            </w:r>
            <w:r w:rsidRPr="003316D6">
              <w:rPr>
                <w:rFonts w:ascii="宋体" w:hAnsi="宋体" w:cs="宋体" w:hint="eastAsia"/>
                <w:sz w:val="20"/>
                <w:szCs w:val="20"/>
              </w:rPr>
              <w:t>日，华菁证券正式成立，公司注册资本</w:t>
            </w:r>
            <w:r w:rsidRPr="003316D6">
              <w:rPr>
                <w:rFonts w:ascii="宋体" w:hAnsi="宋体" w:cs="宋体"/>
                <w:sz w:val="20"/>
                <w:szCs w:val="20"/>
              </w:rPr>
              <w:t>10</w:t>
            </w:r>
            <w:r w:rsidRPr="003316D6">
              <w:rPr>
                <w:rFonts w:ascii="宋体" w:hAnsi="宋体" w:cs="宋体" w:hint="eastAsia"/>
                <w:sz w:val="20"/>
                <w:szCs w:val="20"/>
              </w:rPr>
              <w:t>亿元，由港资股东华兴资本旗下万诚证券、内资股东上海光线投资公司及无锡群兴股权投资公司</w:t>
            </w:r>
            <w:r w:rsidRPr="003316D6">
              <w:rPr>
                <w:rFonts w:ascii="宋体" w:hAnsi="宋体" w:cs="宋体"/>
                <w:sz w:val="20"/>
                <w:szCs w:val="20"/>
              </w:rPr>
              <w:t>3</w:t>
            </w:r>
            <w:r w:rsidRPr="003316D6">
              <w:rPr>
                <w:rFonts w:ascii="宋体" w:hAnsi="宋体" w:cs="宋体" w:hint="eastAsia"/>
                <w:sz w:val="20"/>
                <w:szCs w:val="20"/>
              </w:rPr>
              <w:t>家机构同时发起设立。两家证券公司均是根据“</w:t>
            </w:r>
            <w:r w:rsidRPr="003316D6">
              <w:rPr>
                <w:rFonts w:ascii="宋体" w:hAnsi="宋体" w:cs="宋体"/>
                <w:sz w:val="20"/>
                <w:szCs w:val="20"/>
              </w:rPr>
              <w:t>CEPA</w:t>
            </w:r>
            <w:r w:rsidRPr="003316D6">
              <w:rPr>
                <w:rFonts w:ascii="宋体" w:hAnsi="宋体" w:cs="宋体" w:hint="eastAsia"/>
                <w:sz w:val="20"/>
                <w:szCs w:val="20"/>
              </w:rPr>
              <w:t>补充协议十”框架下设立的合资证券公司。</w:t>
            </w:r>
          </w:p>
          <w:p w:rsidR="000F5E2C" w:rsidRPr="003316D6" w:rsidRDefault="000F5E2C" w:rsidP="009C5AB4">
            <w:pPr>
              <w:widowControl/>
              <w:snapToGrid w:val="0"/>
              <w:rPr>
                <w:rFonts w:ascii="宋体" w:cs="Times New Roman"/>
                <w:sz w:val="20"/>
                <w:szCs w:val="20"/>
              </w:rPr>
            </w:pPr>
          </w:p>
          <w:p w:rsidR="000F5E2C" w:rsidRPr="003316D6" w:rsidRDefault="000F5E2C" w:rsidP="009C5AB4">
            <w:pPr>
              <w:widowControl/>
              <w:snapToGrid w:val="0"/>
              <w:rPr>
                <w:rFonts w:ascii="宋体" w:cs="Times New Roman"/>
                <w:sz w:val="20"/>
                <w:szCs w:val="20"/>
              </w:rPr>
            </w:pPr>
          </w:p>
        </w:tc>
        <w:tc>
          <w:tcPr>
            <w:tcW w:w="4820" w:type="dxa"/>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一是两家公司股权结构呈现外资、民资多元混合持股特点。其中：申港证券是首家新设的内资股东不为证券公司的合资证券公司，首家内资股东均为民营企业的合资证券公司。</w:t>
            </w:r>
          </w:p>
          <w:p w:rsidR="000F5E2C" w:rsidRDefault="000F5E2C" w:rsidP="009C5AB4">
            <w:pPr>
              <w:widowControl/>
              <w:snapToGrid w:val="0"/>
              <w:rPr>
                <w:rFonts w:ascii="宋体" w:cs="Times New Roman"/>
                <w:sz w:val="20"/>
                <w:szCs w:val="20"/>
              </w:rPr>
            </w:pPr>
            <w:r w:rsidRPr="003316D6">
              <w:rPr>
                <w:rFonts w:ascii="宋体" w:hAnsi="宋体" w:cs="宋体" w:hint="eastAsia"/>
                <w:sz w:val="20"/>
                <w:szCs w:val="20"/>
              </w:rPr>
              <w:t>二是两家公司业务范围具有多牌照竞争优势，其中，申港证券目前拥有包括证券经纪、证券承销与保荐、证券自营、证券资产管理等牌照。华菁证券拥有证券经纪、证券承销与保荐、证券投资咨询、证券资产管理等牌照。</w:t>
            </w:r>
          </w:p>
          <w:p w:rsidR="000F5E2C" w:rsidRDefault="000F5E2C" w:rsidP="009C5AB4">
            <w:pPr>
              <w:widowControl/>
              <w:snapToGrid w:val="0"/>
              <w:rPr>
                <w:rFonts w:ascii="宋体" w:cs="Times New Roman"/>
                <w:sz w:val="20"/>
                <w:szCs w:val="20"/>
              </w:rPr>
            </w:pPr>
          </w:p>
          <w:p w:rsidR="000F5E2C" w:rsidRDefault="000F5E2C" w:rsidP="009C5AB4">
            <w:pPr>
              <w:widowControl/>
              <w:snapToGrid w:val="0"/>
              <w:rPr>
                <w:rFonts w:ascii="宋体" w:cs="Times New Roman"/>
                <w:sz w:val="20"/>
                <w:szCs w:val="20"/>
              </w:rPr>
            </w:pPr>
          </w:p>
          <w:p w:rsidR="000F5E2C" w:rsidRPr="003316D6" w:rsidRDefault="000F5E2C" w:rsidP="009C5AB4">
            <w:pPr>
              <w:widowControl/>
              <w:snapToGrid w:val="0"/>
              <w:rPr>
                <w:rFonts w:ascii="宋体" w:cs="Times New Roman"/>
                <w:sz w:val="20"/>
                <w:szCs w:val="20"/>
              </w:rPr>
            </w:pPr>
          </w:p>
        </w:tc>
        <w:tc>
          <w:tcPr>
            <w:tcW w:w="3670" w:type="dxa"/>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一是</w:t>
            </w:r>
            <w:r>
              <w:rPr>
                <w:rFonts w:ascii="宋体" w:hAnsi="宋体" w:cs="宋体" w:hint="eastAsia"/>
                <w:sz w:val="20"/>
                <w:szCs w:val="20"/>
              </w:rPr>
              <w:t>有利于拓宽</w:t>
            </w:r>
            <w:r w:rsidRPr="003316D6">
              <w:rPr>
                <w:rFonts w:ascii="宋体" w:hAnsi="宋体" w:cs="宋体" w:hint="eastAsia"/>
                <w:sz w:val="20"/>
                <w:szCs w:val="20"/>
              </w:rPr>
              <w:t>证券服务业引入港澳资本和民营资本的渠道。</w:t>
            </w:r>
          </w:p>
          <w:p w:rsidR="000F5E2C" w:rsidRPr="003316D6" w:rsidRDefault="000F5E2C" w:rsidP="009C5AB4">
            <w:pPr>
              <w:snapToGrid w:val="0"/>
              <w:rPr>
                <w:rFonts w:ascii="宋体" w:cs="Times New Roman"/>
                <w:sz w:val="20"/>
                <w:szCs w:val="20"/>
              </w:rPr>
            </w:pPr>
            <w:r>
              <w:rPr>
                <w:rFonts w:ascii="宋体" w:hAnsi="宋体" w:cs="宋体" w:hint="eastAsia"/>
                <w:sz w:val="20"/>
                <w:szCs w:val="20"/>
              </w:rPr>
              <w:t>二是有利于</w:t>
            </w:r>
            <w:r w:rsidRPr="003316D6">
              <w:rPr>
                <w:rFonts w:ascii="宋体" w:hAnsi="宋体" w:cs="宋体" w:hint="eastAsia"/>
                <w:sz w:val="20"/>
                <w:szCs w:val="20"/>
              </w:rPr>
              <w:t>借鉴港资等公司股东在成熟资本市场流程管理、风险控制与股权激励等方面经验，提升公司治理水平。</w:t>
            </w:r>
          </w:p>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三是有利于发挥内资、港资等“混合优势”，依托境内外资本市场资源，聚焦差异化发展策略和国际化竞争优势，更好地服务资本市场双向开放。</w:t>
            </w:r>
          </w:p>
        </w:tc>
      </w:tr>
      <w:tr w:rsidR="000F5E2C" w:rsidRPr="003316D6">
        <w:trPr>
          <w:trHeight w:val="78"/>
          <w:jc w:val="center"/>
        </w:trPr>
        <w:tc>
          <w:tcPr>
            <w:tcW w:w="700" w:type="dxa"/>
          </w:tcPr>
          <w:p w:rsidR="000F5E2C" w:rsidRPr="00241F33"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tcPr>
          <w:p w:rsidR="000F5E2C" w:rsidRPr="00241F33"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Pr="003316D6" w:rsidRDefault="000F5E2C" w:rsidP="00FA6769">
            <w:pPr>
              <w:jc w:val="center"/>
              <w:rPr>
                <w:rFonts w:ascii="宋体" w:cs="Times New Roman"/>
                <w:sz w:val="20"/>
                <w:szCs w:val="20"/>
              </w:rPr>
            </w:pPr>
          </w:p>
          <w:p w:rsidR="000F5E2C" w:rsidRPr="003316D6" w:rsidRDefault="000F5E2C" w:rsidP="00FA6769">
            <w:pPr>
              <w:jc w:val="center"/>
              <w:rPr>
                <w:rFonts w:ascii="宋体" w:cs="Times New Roman"/>
                <w:sz w:val="20"/>
                <w:szCs w:val="20"/>
              </w:rPr>
            </w:pPr>
          </w:p>
          <w:p w:rsidR="000F5E2C" w:rsidRPr="003316D6" w:rsidRDefault="000F5E2C" w:rsidP="00FA6769">
            <w:pPr>
              <w:jc w:val="center"/>
              <w:rPr>
                <w:rFonts w:ascii="宋体" w:cs="Times New Roman"/>
                <w:sz w:val="20"/>
                <w:szCs w:val="20"/>
              </w:rPr>
            </w:pPr>
            <w:r w:rsidRPr="003316D6">
              <w:rPr>
                <w:rFonts w:ascii="宋体" w:hAnsi="宋体" w:cs="宋体"/>
                <w:sz w:val="20"/>
                <w:szCs w:val="20"/>
              </w:rPr>
              <w:t>10</w:t>
            </w:r>
          </w:p>
        </w:tc>
        <w:tc>
          <w:tcPr>
            <w:tcW w:w="762" w:type="dxa"/>
          </w:tcPr>
          <w:p w:rsidR="000F5E2C" w:rsidRPr="003316D6" w:rsidRDefault="000F5E2C" w:rsidP="001C3CCC">
            <w:pPr>
              <w:jc w:val="center"/>
              <w:rPr>
                <w:rFonts w:ascii="宋体" w:cs="Times New Roman"/>
                <w:sz w:val="20"/>
                <w:szCs w:val="20"/>
              </w:rPr>
            </w:pPr>
          </w:p>
          <w:p w:rsidR="000F5E2C" w:rsidRPr="003316D6" w:rsidRDefault="000F5E2C" w:rsidP="0068371D">
            <w:pPr>
              <w:jc w:val="center"/>
              <w:rPr>
                <w:rFonts w:ascii="宋体" w:cs="Times New Roman"/>
                <w:sz w:val="20"/>
                <w:szCs w:val="20"/>
              </w:rPr>
            </w:pPr>
          </w:p>
          <w:p w:rsidR="000F5E2C" w:rsidRPr="003316D6" w:rsidRDefault="000F5E2C" w:rsidP="0068371D">
            <w:pPr>
              <w:jc w:val="center"/>
              <w:rPr>
                <w:rFonts w:ascii="宋体" w:cs="Times New Roman"/>
                <w:sz w:val="20"/>
                <w:szCs w:val="20"/>
              </w:rPr>
            </w:pPr>
            <w:r w:rsidRPr="003316D6">
              <w:rPr>
                <w:rFonts w:ascii="宋体" w:hAnsi="宋体" w:cs="宋体" w:hint="eastAsia"/>
                <w:sz w:val="20"/>
                <w:szCs w:val="20"/>
              </w:rPr>
              <w:t>自由贸易账户创新</w:t>
            </w:r>
          </w:p>
          <w:p w:rsidR="000F5E2C" w:rsidRPr="003316D6" w:rsidRDefault="000F5E2C" w:rsidP="0068371D">
            <w:pPr>
              <w:jc w:val="center"/>
              <w:rPr>
                <w:rFonts w:ascii="宋体" w:cs="Times New Roman"/>
                <w:sz w:val="20"/>
                <w:szCs w:val="20"/>
              </w:rPr>
            </w:pPr>
          </w:p>
          <w:p w:rsidR="000F5E2C" w:rsidRPr="003316D6" w:rsidRDefault="000F5E2C" w:rsidP="0068371D">
            <w:pPr>
              <w:jc w:val="center"/>
              <w:rPr>
                <w:rFonts w:ascii="宋体" w:cs="Times New Roman"/>
                <w:sz w:val="20"/>
                <w:szCs w:val="20"/>
              </w:rPr>
            </w:pPr>
          </w:p>
        </w:tc>
        <w:tc>
          <w:tcPr>
            <w:tcW w:w="1418" w:type="dxa"/>
            <w:vAlign w:val="center"/>
          </w:tcPr>
          <w:p w:rsidR="000F5E2C" w:rsidRPr="003316D6" w:rsidRDefault="000F5E2C" w:rsidP="003A48BC">
            <w:pPr>
              <w:jc w:val="left"/>
              <w:rPr>
                <w:rFonts w:ascii="宋体" w:cs="Times New Roman"/>
                <w:sz w:val="20"/>
                <w:szCs w:val="20"/>
              </w:rPr>
            </w:pPr>
            <w:r w:rsidRPr="003316D6">
              <w:rPr>
                <w:rFonts w:ascii="宋体" w:hAnsi="宋体" w:cs="宋体" w:hint="eastAsia"/>
                <w:sz w:val="20"/>
                <w:szCs w:val="20"/>
              </w:rPr>
              <w:t>首批区外科技创新企业和海外引进人才开立自由贸易账户及相关业务成功办理</w:t>
            </w:r>
          </w:p>
        </w:tc>
        <w:tc>
          <w:tcPr>
            <w:tcW w:w="4819" w:type="dxa"/>
            <w:vAlign w:val="center"/>
          </w:tcPr>
          <w:p w:rsidR="000F5E2C" w:rsidRDefault="000F5E2C" w:rsidP="00D619E1">
            <w:pPr>
              <w:widowControl/>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11</w:t>
            </w:r>
            <w:r w:rsidRPr="003316D6">
              <w:rPr>
                <w:rFonts w:ascii="宋体" w:hAnsi="宋体" w:cs="宋体" w:hint="eastAsia"/>
                <w:sz w:val="20"/>
                <w:szCs w:val="20"/>
              </w:rPr>
              <w:t>月</w:t>
            </w:r>
            <w:r w:rsidRPr="003316D6">
              <w:rPr>
                <w:rFonts w:ascii="宋体" w:hAnsi="宋体" w:cs="宋体"/>
                <w:sz w:val="20"/>
                <w:szCs w:val="20"/>
              </w:rPr>
              <w:t>23</w:t>
            </w:r>
            <w:r w:rsidRPr="003316D6">
              <w:rPr>
                <w:rFonts w:ascii="宋体" w:hAnsi="宋体" w:cs="宋体" w:hint="eastAsia"/>
                <w:sz w:val="20"/>
                <w:szCs w:val="20"/>
              </w:rPr>
              <w:t>日，人民银行上海总部发布《关于进一步拓展自贸区跨境金融服务功能支持科技创新和实体经济的通知》，建设银行上海市分行等金融机构率先为符合要求的区外科技创新企业开立自由贸易账户，率先为企业海外引进人才开立首批境外个人自由贸易账户（</w:t>
            </w:r>
            <w:r w:rsidRPr="003316D6">
              <w:rPr>
                <w:rFonts w:ascii="Times New Roman" w:hAnsi="Times New Roman" w:cs="Times New Roman"/>
                <w:sz w:val="20"/>
                <w:szCs w:val="20"/>
              </w:rPr>
              <w:t>FTF</w:t>
            </w:r>
            <w:r w:rsidRPr="003316D6">
              <w:rPr>
                <w:rFonts w:ascii="宋体" w:hAnsi="宋体" w:cs="宋体" w:hint="eastAsia"/>
                <w:sz w:val="20"/>
                <w:szCs w:val="20"/>
              </w:rPr>
              <w:t>），并提供了与其境内就业和生活相关的金融服务</w:t>
            </w:r>
            <w:r w:rsidRPr="003316D6">
              <w:rPr>
                <w:rFonts w:ascii="宋体" w:cs="宋体"/>
                <w:sz w:val="20"/>
                <w:szCs w:val="20"/>
              </w:rPr>
              <w:t>,</w:t>
            </w:r>
            <w:r w:rsidRPr="003316D6">
              <w:rPr>
                <w:rFonts w:ascii="宋体" w:hAnsi="宋体" w:cs="宋体" w:hint="eastAsia"/>
                <w:sz w:val="20"/>
                <w:szCs w:val="20"/>
              </w:rPr>
              <w:t>标志着自由贸易账户正式向全市科技创新企业及引进人才的复制推广。</w:t>
            </w:r>
          </w:p>
          <w:p w:rsidR="000F5E2C" w:rsidRDefault="000F5E2C" w:rsidP="00D619E1">
            <w:pPr>
              <w:widowControl/>
              <w:snapToGrid w:val="0"/>
              <w:rPr>
                <w:rFonts w:ascii="宋体" w:cs="Times New Roman"/>
                <w:sz w:val="20"/>
                <w:szCs w:val="20"/>
              </w:rPr>
            </w:pPr>
          </w:p>
          <w:p w:rsidR="000F5E2C" w:rsidRPr="003316D6" w:rsidRDefault="000F5E2C" w:rsidP="00D619E1">
            <w:pPr>
              <w:widowControl/>
              <w:snapToGrid w:val="0"/>
              <w:rPr>
                <w:rFonts w:ascii="宋体" w:cs="Times New Roman"/>
                <w:sz w:val="20"/>
                <w:szCs w:val="20"/>
              </w:rPr>
            </w:pPr>
          </w:p>
        </w:tc>
        <w:tc>
          <w:tcPr>
            <w:tcW w:w="4820" w:type="dxa"/>
            <w:vAlign w:val="center"/>
          </w:tcPr>
          <w:p w:rsidR="000F5E2C" w:rsidRPr="003316D6" w:rsidRDefault="000F5E2C" w:rsidP="00D36487">
            <w:pPr>
              <w:widowControl/>
              <w:snapToGrid w:val="0"/>
              <w:rPr>
                <w:rFonts w:ascii="宋体" w:cs="Times New Roman"/>
                <w:sz w:val="20"/>
                <w:szCs w:val="20"/>
              </w:rPr>
            </w:pPr>
            <w:r w:rsidRPr="003316D6">
              <w:rPr>
                <w:rFonts w:ascii="宋体" w:hAnsi="宋体" w:cs="宋体" w:hint="eastAsia"/>
                <w:sz w:val="20"/>
                <w:szCs w:val="20"/>
              </w:rPr>
              <w:t>一是率先将自由贸易账户开立主体拓展到全市科技创新企业，让区外的科技创新企业也能享受自贸试验区金融创新便利。</w:t>
            </w:r>
          </w:p>
          <w:p w:rsidR="000F5E2C" w:rsidRDefault="000F5E2C" w:rsidP="00D36487">
            <w:pPr>
              <w:widowControl/>
              <w:snapToGrid w:val="0"/>
              <w:rPr>
                <w:rFonts w:ascii="宋体" w:cs="Times New Roman"/>
                <w:sz w:val="20"/>
                <w:szCs w:val="20"/>
              </w:rPr>
            </w:pPr>
            <w:r w:rsidRPr="003316D6">
              <w:rPr>
                <w:rFonts w:ascii="宋体" w:hAnsi="宋体" w:cs="宋体" w:hint="eastAsia"/>
                <w:sz w:val="20"/>
                <w:szCs w:val="20"/>
              </w:rPr>
              <w:t>二是进一步完善了自由贸易账户服务功能，为符合条件的个人客户开展与其境内就业和生活相关的各项金融服务。</w:t>
            </w:r>
            <w:r w:rsidRPr="003316D6">
              <w:rPr>
                <w:rFonts w:ascii="宋体" w:hAnsi="宋体" w:cs="宋体"/>
                <w:sz w:val="20"/>
                <w:szCs w:val="20"/>
              </w:rPr>
              <w:t xml:space="preserve"> </w:t>
            </w:r>
          </w:p>
          <w:p w:rsidR="000F5E2C" w:rsidRDefault="000F5E2C" w:rsidP="00D36487">
            <w:pPr>
              <w:widowControl/>
              <w:snapToGrid w:val="0"/>
              <w:rPr>
                <w:rFonts w:ascii="宋体" w:cs="Times New Roman"/>
                <w:sz w:val="20"/>
                <w:szCs w:val="20"/>
              </w:rPr>
            </w:pPr>
          </w:p>
          <w:p w:rsidR="000F5E2C" w:rsidRDefault="000F5E2C" w:rsidP="00D36487">
            <w:pPr>
              <w:widowControl/>
              <w:snapToGrid w:val="0"/>
              <w:rPr>
                <w:rFonts w:ascii="宋体" w:cs="Times New Roman"/>
                <w:sz w:val="20"/>
                <w:szCs w:val="20"/>
              </w:rPr>
            </w:pPr>
            <w:r w:rsidRPr="003316D6">
              <w:rPr>
                <w:rFonts w:ascii="宋体" w:hAnsi="宋体" w:cs="宋体"/>
                <w:sz w:val="20"/>
                <w:szCs w:val="20"/>
              </w:rPr>
              <w:t xml:space="preserve">  </w:t>
            </w:r>
          </w:p>
          <w:p w:rsidR="000F5E2C" w:rsidRDefault="000F5E2C" w:rsidP="00D36487">
            <w:pPr>
              <w:widowControl/>
              <w:snapToGrid w:val="0"/>
              <w:rPr>
                <w:rFonts w:ascii="宋体" w:cs="Times New Roman"/>
                <w:sz w:val="20"/>
                <w:szCs w:val="20"/>
              </w:rPr>
            </w:pPr>
          </w:p>
          <w:p w:rsidR="000F5E2C" w:rsidRPr="003316D6" w:rsidRDefault="000F5E2C" w:rsidP="00D36487">
            <w:pPr>
              <w:widowControl/>
              <w:snapToGrid w:val="0"/>
              <w:rPr>
                <w:rFonts w:ascii="宋体" w:cs="Times New Roman"/>
                <w:sz w:val="20"/>
                <w:szCs w:val="20"/>
              </w:rPr>
            </w:pPr>
          </w:p>
        </w:tc>
        <w:tc>
          <w:tcPr>
            <w:tcW w:w="3670" w:type="dxa"/>
            <w:vAlign w:val="center"/>
          </w:tcPr>
          <w:p w:rsidR="000F5E2C" w:rsidRPr="003316D6" w:rsidRDefault="000F5E2C" w:rsidP="00D36487">
            <w:pPr>
              <w:widowControl/>
              <w:shd w:val="clear" w:color="auto" w:fill="FFFFFF"/>
              <w:snapToGrid w:val="0"/>
              <w:rPr>
                <w:rFonts w:ascii="宋体" w:cs="Times New Roman"/>
                <w:sz w:val="20"/>
                <w:szCs w:val="20"/>
              </w:rPr>
            </w:pPr>
            <w:r>
              <w:rPr>
                <w:rFonts w:ascii="宋体" w:hAnsi="宋体" w:cs="宋体" w:hint="eastAsia"/>
                <w:sz w:val="20"/>
                <w:szCs w:val="20"/>
              </w:rPr>
              <w:t>有利于</w:t>
            </w:r>
            <w:r w:rsidRPr="003316D6">
              <w:rPr>
                <w:rFonts w:ascii="宋体" w:hAnsi="宋体" w:cs="宋体" w:hint="eastAsia"/>
                <w:sz w:val="20"/>
                <w:szCs w:val="20"/>
              </w:rPr>
              <w:t>商业银行等金融机构对接科技创新企业生命周期不同阶段诉求，兼顾科创企业海内外高层次人才的跨境服务需要，提供全方位综合金融服务方案。</w:t>
            </w:r>
          </w:p>
          <w:p w:rsidR="000F5E2C" w:rsidRDefault="000F5E2C" w:rsidP="00D36487">
            <w:pPr>
              <w:widowControl/>
              <w:shd w:val="clear" w:color="auto" w:fill="FFFFFF"/>
              <w:snapToGrid w:val="0"/>
              <w:rPr>
                <w:rFonts w:ascii="宋体" w:cs="Times New Roman"/>
                <w:sz w:val="20"/>
                <w:szCs w:val="20"/>
              </w:rPr>
            </w:pPr>
          </w:p>
          <w:p w:rsidR="000F5E2C" w:rsidRDefault="000F5E2C" w:rsidP="00D36487">
            <w:pPr>
              <w:widowControl/>
              <w:shd w:val="clear" w:color="auto" w:fill="FFFFFF"/>
              <w:snapToGrid w:val="0"/>
              <w:rPr>
                <w:rFonts w:ascii="宋体" w:cs="Times New Roman"/>
                <w:sz w:val="20"/>
                <w:szCs w:val="20"/>
              </w:rPr>
            </w:pPr>
          </w:p>
          <w:p w:rsidR="000F5E2C" w:rsidRDefault="000F5E2C" w:rsidP="00D36487">
            <w:pPr>
              <w:widowControl/>
              <w:shd w:val="clear" w:color="auto" w:fill="FFFFFF"/>
              <w:snapToGrid w:val="0"/>
              <w:rPr>
                <w:rFonts w:ascii="宋体" w:cs="Times New Roman"/>
                <w:sz w:val="20"/>
                <w:szCs w:val="20"/>
              </w:rPr>
            </w:pPr>
          </w:p>
          <w:p w:rsidR="000F5E2C" w:rsidRDefault="000F5E2C" w:rsidP="00D36487">
            <w:pPr>
              <w:widowControl/>
              <w:shd w:val="clear" w:color="auto" w:fill="FFFFFF"/>
              <w:snapToGrid w:val="0"/>
              <w:rPr>
                <w:rFonts w:ascii="宋体" w:cs="Times New Roman"/>
                <w:sz w:val="20"/>
                <w:szCs w:val="20"/>
              </w:rPr>
            </w:pPr>
          </w:p>
          <w:p w:rsidR="000F5E2C" w:rsidRDefault="000F5E2C" w:rsidP="00D36487">
            <w:pPr>
              <w:widowControl/>
              <w:shd w:val="clear" w:color="auto" w:fill="FFFFFF"/>
              <w:snapToGrid w:val="0"/>
              <w:rPr>
                <w:rFonts w:ascii="宋体" w:cs="Times New Roman"/>
                <w:sz w:val="20"/>
                <w:szCs w:val="20"/>
              </w:rPr>
            </w:pPr>
          </w:p>
          <w:p w:rsidR="000F5E2C" w:rsidRPr="003316D6" w:rsidRDefault="000F5E2C" w:rsidP="00D36487">
            <w:pPr>
              <w:widowControl/>
              <w:shd w:val="clear" w:color="auto" w:fill="FFFFFF"/>
              <w:snapToGrid w:val="0"/>
              <w:rPr>
                <w:rFonts w:ascii="宋体" w:cs="Times New Roman"/>
                <w:sz w:val="20"/>
                <w:szCs w:val="20"/>
              </w:rPr>
            </w:pPr>
          </w:p>
        </w:tc>
      </w:tr>
      <w:tr w:rsidR="000F5E2C" w:rsidRPr="003316D6">
        <w:trPr>
          <w:trHeight w:val="78"/>
          <w:jc w:val="center"/>
        </w:trPr>
        <w:tc>
          <w:tcPr>
            <w:tcW w:w="700" w:type="dxa"/>
          </w:tcPr>
          <w:p w:rsidR="000F5E2C" w:rsidRDefault="000F5E2C" w:rsidP="00FA6769">
            <w:pPr>
              <w:jc w:val="center"/>
              <w:rPr>
                <w:rFonts w:ascii="宋体" w:cs="Times New Roman"/>
                <w:sz w:val="20"/>
                <w:szCs w:val="20"/>
              </w:rPr>
            </w:pPr>
          </w:p>
          <w:p w:rsidR="000F5E2C" w:rsidRPr="003316D6" w:rsidRDefault="000F5E2C" w:rsidP="00FA6769">
            <w:pPr>
              <w:jc w:val="center"/>
              <w:rPr>
                <w:rFonts w:ascii="宋体" w:cs="Times New Roman"/>
                <w:sz w:val="20"/>
                <w:szCs w:val="20"/>
              </w:rPr>
            </w:pPr>
            <w:r w:rsidRPr="003316D6">
              <w:rPr>
                <w:rFonts w:ascii="宋体" w:hAnsi="宋体" w:cs="宋体"/>
                <w:sz w:val="20"/>
                <w:szCs w:val="20"/>
              </w:rPr>
              <w:t>11</w:t>
            </w:r>
          </w:p>
        </w:tc>
        <w:tc>
          <w:tcPr>
            <w:tcW w:w="762" w:type="dxa"/>
          </w:tcPr>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自由贸易账户创新</w:t>
            </w:r>
          </w:p>
        </w:tc>
        <w:tc>
          <w:tcPr>
            <w:tcW w:w="1418" w:type="dxa"/>
          </w:tcPr>
          <w:p w:rsidR="000F5E2C" w:rsidRPr="003316D6" w:rsidRDefault="000F5E2C" w:rsidP="009C5AB4">
            <w:pPr>
              <w:jc w:val="left"/>
              <w:rPr>
                <w:rFonts w:ascii="宋体" w:cs="Times New Roman"/>
                <w:sz w:val="20"/>
                <w:szCs w:val="20"/>
              </w:rPr>
            </w:pPr>
          </w:p>
          <w:p w:rsidR="000F5E2C" w:rsidRPr="003316D6" w:rsidRDefault="000F5E2C" w:rsidP="009C5AB4">
            <w:pPr>
              <w:jc w:val="left"/>
              <w:rPr>
                <w:rFonts w:ascii="宋体" w:cs="Times New Roman"/>
                <w:sz w:val="20"/>
                <w:szCs w:val="20"/>
              </w:rPr>
            </w:pPr>
            <w:r w:rsidRPr="003316D6">
              <w:rPr>
                <w:rFonts w:ascii="宋体" w:hAnsi="宋体" w:cs="宋体" w:hint="eastAsia"/>
                <w:sz w:val="20"/>
                <w:szCs w:val="20"/>
              </w:rPr>
              <w:t>自由贸易账户首单外币理财产品发行</w:t>
            </w:r>
          </w:p>
        </w:tc>
        <w:tc>
          <w:tcPr>
            <w:tcW w:w="4819" w:type="dxa"/>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浦发银行成功发行首单自由贸易账户美元非保本理财产品，遵循资金“外来外用”的规则，募集</w:t>
            </w:r>
            <w:r w:rsidRPr="003316D6">
              <w:rPr>
                <w:rFonts w:ascii="宋体" w:hAnsi="宋体" w:cs="宋体"/>
                <w:sz w:val="20"/>
                <w:szCs w:val="20"/>
              </w:rPr>
              <w:t>FTN</w:t>
            </w:r>
            <w:r w:rsidRPr="003316D6">
              <w:rPr>
                <w:rFonts w:ascii="宋体" w:hAnsi="宋体" w:cs="宋体" w:hint="eastAsia"/>
                <w:sz w:val="20"/>
                <w:szCs w:val="20"/>
              </w:rPr>
              <w:t>客户的美元资金投资于中资企业海外子公司发行的美元债券，利用该账户本外币一体化及跨境投融资便利优势，面向开立境外机构自由贸易账户（</w:t>
            </w:r>
            <w:r w:rsidRPr="003316D6">
              <w:rPr>
                <w:rFonts w:ascii="宋体" w:hAnsi="宋体" w:cs="宋体"/>
                <w:sz w:val="20"/>
                <w:szCs w:val="20"/>
              </w:rPr>
              <w:t>FTN</w:t>
            </w:r>
            <w:r w:rsidRPr="003316D6">
              <w:rPr>
                <w:rFonts w:ascii="宋体" w:hAnsi="宋体" w:cs="宋体" w:hint="eastAsia"/>
                <w:sz w:val="20"/>
                <w:szCs w:val="20"/>
              </w:rPr>
              <w:t>）和区内机构自由贸易账户（</w:t>
            </w:r>
            <w:r w:rsidRPr="003316D6">
              <w:rPr>
                <w:rFonts w:ascii="宋体" w:hAnsi="宋体" w:cs="宋体"/>
                <w:sz w:val="20"/>
                <w:szCs w:val="20"/>
              </w:rPr>
              <w:t>FTE</w:t>
            </w:r>
            <w:r w:rsidRPr="003316D6">
              <w:rPr>
                <w:rFonts w:ascii="宋体" w:hAnsi="宋体" w:cs="宋体" w:hint="eastAsia"/>
                <w:sz w:val="20"/>
                <w:szCs w:val="20"/>
              </w:rPr>
              <w:t>）的对公客户发行外币理财产品，募集</w:t>
            </w:r>
            <w:r w:rsidRPr="003316D6">
              <w:rPr>
                <w:rFonts w:ascii="宋体" w:hAnsi="宋体" w:cs="宋体"/>
                <w:sz w:val="20"/>
                <w:szCs w:val="20"/>
              </w:rPr>
              <w:t>FT</w:t>
            </w:r>
            <w:r w:rsidRPr="003316D6">
              <w:rPr>
                <w:rFonts w:ascii="宋体" w:hAnsi="宋体" w:cs="宋体" w:hint="eastAsia"/>
                <w:sz w:val="20"/>
                <w:szCs w:val="20"/>
              </w:rPr>
              <w:t>账户外币资金投资于境外优质资产。</w:t>
            </w:r>
          </w:p>
        </w:tc>
        <w:tc>
          <w:tcPr>
            <w:tcW w:w="4820" w:type="dxa"/>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一是拓宽了自由贸易账户的理财功能。</w:t>
            </w:r>
          </w:p>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二是丰富了自由贸易账户投资者的投资品种，为客户投资境外标的提供了渠道。</w:t>
            </w:r>
          </w:p>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三是扩大投资范围</w:t>
            </w:r>
            <w:r w:rsidRPr="003316D6">
              <w:rPr>
                <w:rFonts w:ascii="宋体" w:cs="宋体"/>
                <w:sz w:val="20"/>
                <w:szCs w:val="20"/>
              </w:rPr>
              <w:t>,</w:t>
            </w:r>
            <w:r w:rsidRPr="003316D6">
              <w:rPr>
                <w:rFonts w:ascii="宋体" w:hAnsi="宋体" w:cs="宋体" w:hint="eastAsia"/>
                <w:sz w:val="20"/>
                <w:szCs w:val="20"/>
              </w:rPr>
              <w:t>投资标的为中资企业境外子公司在海外发行的美元债券。</w:t>
            </w:r>
          </w:p>
          <w:p w:rsidR="000F5E2C" w:rsidRPr="003316D6" w:rsidRDefault="000F5E2C" w:rsidP="00D619E1">
            <w:pPr>
              <w:snapToGrid w:val="0"/>
              <w:rPr>
                <w:rFonts w:ascii="宋体" w:cs="Times New Roman"/>
                <w:sz w:val="20"/>
                <w:szCs w:val="20"/>
              </w:rPr>
            </w:pPr>
            <w:r w:rsidRPr="003316D6">
              <w:rPr>
                <w:rFonts w:ascii="宋体" w:hAnsi="宋体" w:cs="宋体" w:hint="eastAsia"/>
                <w:sz w:val="20"/>
                <w:szCs w:val="20"/>
              </w:rPr>
              <w:t>四是参考国际通行做法，加强了境内外机构合作。</w:t>
            </w:r>
          </w:p>
        </w:tc>
        <w:tc>
          <w:tcPr>
            <w:tcW w:w="3670" w:type="dxa"/>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一是满足了客户对</w:t>
            </w:r>
            <w:r w:rsidRPr="003316D6">
              <w:rPr>
                <w:rFonts w:ascii="宋体" w:hAnsi="宋体" w:cs="宋体"/>
                <w:sz w:val="20"/>
                <w:szCs w:val="20"/>
              </w:rPr>
              <w:t>FT</w:t>
            </w:r>
            <w:r w:rsidRPr="003316D6">
              <w:rPr>
                <w:rFonts w:ascii="宋体" w:hAnsi="宋体" w:cs="宋体" w:hint="eastAsia"/>
                <w:sz w:val="20"/>
                <w:szCs w:val="20"/>
              </w:rPr>
              <w:t>账户外币资金保值增值的需求，提高了</w:t>
            </w:r>
            <w:r w:rsidRPr="003316D6">
              <w:rPr>
                <w:rFonts w:ascii="宋体" w:hAnsi="宋体" w:cs="宋体"/>
                <w:sz w:val="20"/>
                <w:szCs w:val="20"/>
              </w:rPr>
              <w:t>FT</w:t>
            </w:r>
            <w:r w:rsidRPr="003316D6">
              <w:rPr>
                <w:rFonts w:ascii="宋体" w:hAnsi="宋体" w:cs="宋体" w:hint="eastAsia"/>
                <w:sz w:val="20"/>
                <w:szCs w:val="20"/>
              </w:rPr>
              <w:t>账户资金的收益，加深了银企间的合作关系。</w:t>
            </w:r>
          </w:p>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二是通过</w:t>
            </w:r>
            <w:r w:rsidRPr="003316D6">
              <w:rPr>
                <w:rFonts w:ascii="宋体" w:hAnsi="宋体" w:cs="宋体"/>
                <w:sz w:val="20"/>
                <w:szCs w:val="20"/>
              </w:rPr>
              <w:t>FT</w:t>
            </w:r>
            <w:r w:rsidRPr="003316D6">
              <w:rPr>
                <w:rFonts w:ascii="宋体" w:hAnsi="宋体" w:cs="宋体" w:hint="eastAsia"/>
                <w:sz w:val="20"/>
                <w:szCs w:val="20"/>
              </w:rPr>
              <w:t>账户引入了境外投资标的，有利于客户多元化投资。</w:t>
            </w:r>
          </w:p>
          <w:p w:rsidR="000F5E2C" w:rsidRDefault="000F5E2C" w:rsidP="00790CC5">
            <w:pPr>
              <w:snapToGrid w:val="0"/>
              <w:rPr>
                <w:rFonts w:ascii="宋体" w:cs="Times New Roman"/>
                <w:sz w:val="20"/>
                <w:szCs w:val="20"/>
              </w:rPr>
            </w:pPr>
            <w:r w:rsidRPr="003316D6">
              <w:rPr>
                <w:rFonts w:ascii="宋体" w:hAnsi="宋体" w:cs="宋体" w:hint="eastAsia"/>
                <w:sz w:val="20"/>
                <w:szCs w:val="20"/>
              </w:rPr>
              <w:t>三是</w:t>
            </w:r>
            <w:r w:rsidRPr="003316D6">
              <w:rPr>
                <w:rFonts w:ascii="宋体" w:hAnsi="宋体" w:cs="宋体"/>
                <w:sz w:val="20"/>
                <w:szCs w:val="20"/>
              </w:rPr>
              <w:t>FT</w:t>
            </w:r>
            <w:r w:rsidRPr="003316D6">
              <w:rPr>
                <w:rFonts w:ascii="宋体" w:hAnsi="宋体" w:cs="宋体" w:hint="eastAsia"/>
                <w:sz w:val="20"/>
                <w:szCs w:val="20"/>
              </w:rPr>
              <w:t>账户理财产品认购美元债券，</w:t>
            </w:r>
            <w:r>
              <w:rPr>
                <w:rFonts w:ascii="宋体" w:hAnsi="宋体" w:cs="宋体" w:hint="eastAsia"/>
                <w:sz w:val="20"/>
                <w:szCs w:val="20"/>
              </w:rPr>
              <w:t>拓宽了</w:t>
            </w:r>
            <w:r w:rsidRPr="003316D6">
              <w:rPr>
                <w:rFonts w:ascii="宋体" w:hAnsi="宋体" w:cs="宋体" w:hint="eastAsia"/>
                <w:sz w:val="20"/>
                <w:szCs w:val="20"/>
              </w:rPr>
              <w:t>中资企业在境外发债</w:t>
            </w:r>
            <w:r>
              <w:rPr>
                <w:rFonts w:ascii="宋体" w:hAnsi="宋体" w:cs="宋体" w:hint="eastAsia"/>
                <w:sz w:val="20"/>
                <w:szCs w:val="20"/>
              </w:rPr>
              <w:t>的</w:t>
            </w:r>
            <w:r w:rsidRPr="003316D6">
              <w:rPr>
                <w:rFonts w:ascii="宋体" w:hAnsi="宋体" w:cs="宋体" w:hint="eastAsia"/>
                <w:sz w:val="20"/>
                <w:szCs w:val="20"/>
              </w:rPr>
              <w:t>投资者范围，为大型企业“走出去”实施境外并购战略提供资金支持。</w:t>
            </w:r>
          </w:p>
          <w:p w:rsidR="000F5E2C" w:rsidRPr="003316D6" w:rsidRDefault="000F5E2C" w:rsidP="00790CC5">
            <w:pPr>
              <w:snapToGrid w:val="0"/>
              <w:rPr>
                <w:rFonts w:ascii="宋体" w:cs="Times New Roman"/>
                <w:sz w:val="20"/>
                <w:szCs w:val="20"/>
              </w:rPr>
            </w:pPr>
          </w:p>
        </w:tc>
      </w:tr>
      <w:tr w:rsidR="000F5E2C" w:rsidRPr="003316D6">
        <w:trPr>
          <w:trHeight w:val="78"/>
          <w:jc w:val="center"/>
        </w:trPr>
        <w:tc>
          <w:tcPr>
            <w:tcW w:w="700" w:type="dxa"/>
          </w:tcPr>
          <w:p w:rsidR="000F5E2C" w:rsidRPr="003316D6" w:rsidRDefault="000F5E2C" w:rsidP="00FE36A1">
            <w:pPr>
              <w:jc w:val="center"/>
              <w:rPr>
                <w:rFonts w:ascii="宋体" w:cs="Times New Roman"/>
                <w:sz w:val="20"/>
                <w:szCs w:val="20"/>
              </w:rPr>
            </w:pPr>
          </w:p>
          <w:p w:rsidR="000F5E2C" w:rsidRPr="003316D6" w:rsidRDefault="000F5E2C" w:rsidP="00FE36A1">
            <w:pPr>
              <w:jc w:val="center"/>
              <w:rPr>
                <w:rFonts w:ascii="宋体" w:cs="Times New Roman"/>
                <w:sz w:val="20"/>
                <w:szCs w:val="20"/>
              </w:rPr>
            </w:pPr>
          </w:p>
          <w:p w:rsidR="000F5E2C" w:rsidRPr="003316D6" w:rsidRDefault="000F5E2C" w:rsidP="00FE36A1">
            <w:pPr>
              <w:jc w:val="center"/>
              <w:rPr>
                <w:rFonts w:ascii="宋体" w:cs="Times New Roman"/>
                <w:sz w:val="20"/>
                <w:szCs w:val="20"/>
              </w:rPr>
            </w:pPr>
            <w:r w:rsidRPr="003316D6">
              <w:rPr>
                <w:rFonts w:ascii="宋体" w:hAnsi="宋体" w:cs="宋体"/>
                <w:sz w:val="20"/>
                <w:szCs w:val="20"/>
              </w:rPr>
              <w:t>12</w:t>
            </w:r>
          </w:p>
          <w:p w:rsidR="000F5E2C" w:rsidRPr="003316D6" w:rsidRDefault="000F5E2C" w:rsidP="00FE36A1">
            <w:pPr>
              <w:jc w:val="center"/>
              <w:rPr>
                <w:rFonts w:ascii="宋体" w:cs="Times New Roman"/>
                <w:sz w:val="20"/>
                <w:szCs w:val="20"/>
              </w:rPr>
            </w:pPr>
          </w:p>
        </w:tc>
        <w:tc>
          <w:tcPr>
            <w:tcW w:w="762" w:type="dxa"/>
          </w:tcPr>
          <w:p w:rsidR="000F5E2C" w:rsidRPr="003316D6" w:rsidRDefault="000F5E2C" w:rsidP="00FE36A1">
            <w:pPr>
              <w:jc w:val="center"/>
              <w:rPr>
                <w:rFonts w:ascii="宋体" w:cs="Times New Roman"/>
                <w:sz w:val="20"/>
                <w:szCs w:val="20"/>
              </w:rPr>
            </w:pPr>
          </w:p>
          <w:p w:rsidR="000F5E2C" w:rsidRDefault="000F5E2C" w:rsidP="00FE36A1">
            <w:pPr>
              <w:jc w:val="center"/>
              <w:rPr>
                <w:rFonts w:ascii="宋体" w:cs="Times New Roman"/>
                <w:sz w:val="20"/>
                <w:szCs w:val="20"/>
              </w:rPr>
            </w:pPr>
          </w:p>
          <w:p w:rsidR="000F5E2C" w:rsidRPr="003316D6" w:rsidRDefault="000F5E2C" w:rsidP="00FE36A1">
            <w:pPr>
              <w:jc w:val="center"/>
              <w:rPr>
                <w:rFonts w:ascii="宋体" w:cs="Times New Roman"/>
                <w:sz w:val="20"/>
                <w:szCs w:val="20"/>
              </w:rPr>
            </w:pPr>
            <w:r w:rsidRPr="003316D6">
              <w:rPr>
                <w:rFonts w:ascii="宋体" w:hAnsi="宋体" w:cs="宋体" w:hint="eastAsia"/>
                <w:sz w:val="20"/>
                <w:szCs w:val="20"/>
              </w:rPr>
              <w:t>综合金融服务创新</w:t>
            </w:r>
          </w:p>
        </w:tc>
        <w:tc>
          <w:tcPr>
            <w:tcW w:w="1418" w:type="dxa"/>
            <w:vAlign w:val="center"/>
          </w:tcPr>
          <w:p w:rsidR="000F5E2C" w:rsidRDefault="000F5E2C" w:rsidP="00FE36A1">
            <w:pPr>
              <w:jc w:val="left"/>
              <w:rPr>
                <w:rFonts w:ascii="宋体" w:cs="Times New Roman"/>
                <w:sz w:val="20"/>
                <w:szCs w:val="20"/>
              </w:rPr>
            </w:pPr>
          </w:p>
          <w:p w:rsidR="000F5E2C" w:rsidRDefault="000F5E2C" w:rsidP="00FE36A1">
            <w:pPr>
              <w:jc w:val="left"/>
              <w:rPr>
                <w:rFonts w:ascii="宋体" w:cs="Times New Roman"/>
                <w:sz w:val="20"/>
                <w:szCs w:val="20"/>
              </w:rPr>
            </w:pPr>
            <w:r w:rsidRPr="003316D6">
              <w:rPr>
                <w:rFonts w:ascii="宋体" w:hAnsi="宋体" w:cs="宋体" w:hint="eastAsia"/>
                <w:sz w:val="20"/>
                <w:szCs w:val="20"/>
              </w:rPr>
              <w:t>自贸试验区平行进口汽车综合金融服务</w:t>
            </w:r>
          </w:p>
          <w:p w:rsidR="000F5E2C" w:rsidRDefault="000F5E2C" w:rsidP="00FE36A1">
            <w:pPr>
              <w:jc w:val="left"/>
              <w:rPr>
                <w:rFonts w:ascii="宋体" w:cs="Times New Roman"/>
                <w:sz w:val="20"/>
                <w:szCs w:val="20"/>
              </w:rPr>
            </w:pPr>
          </w:p>
          <w:p w:rsidR="000F5E2C" w:rsidRDefault="000F5E2C" w:rsidP="00FE36A1">
            <w:pPr>
              <w:jc w:val="left"/>
              <w:rPr>
                <w:rFonts w:ascii="宋体" w:cs="Times New Roman"/>
                <w:sz w:val="20"/>
                <w:szCs w:val="20"/>
              </w:rPr>
            </w:pPr>
          </w:p>
          <w:p w:rsidR="000F5E2C" w:rsidRPr="003316D6" w:rsidRDefault="000F5E2C" w:rsidP="00FE36A1">
            <w:pPr>
              <w:jc w:val="left"/>
              <w:rPr>
                <w:rFonts w:ascii="宋体" w:cs="Times New Roman"/>
                <w:sz w:val="20"/>
                <w:szCs w:val="20"/>
              </w:rPr>
            </w:pPr>
          </w:p>
        </w:tc>
        <w:tc>
          <w:tcPr>
            <w:tcW w:w="4819" w:type="dxa"/>
            <w:vAlign w:val="center"/>
          </w:tcPr>
          <w:p w:rsidR="000F5E2C" w:rsidRDefault="000F5E2C" w:rsidP="00FE36A1">
            <w:pPr>
              <w:widowControl/>
              <w:snapToGrid w:val="0"/>
              <w:rPr>
                <w:rFonts w:ascii="宋体" w:cs="Times New Roman"/>
                <w:sz w:val="20"/>
                <w:szCs w:val="20"/>
              </w:rPr>
            </w:pPr>
            <w:r w:rsidRPr="003316D6">
              <w:rPr>
                <w:rFonts w:ascii="宋体" w:hAnsi="宋体" w:cs="宋体" w:hint="eastAsia"/>
                <w:sz w:val="20"/>
                <w:szCs w:val="20"/>
              </w:rPr>
              <w:t>上海自贸试验区启动平行进口汽车试点</w:t>
            </w:r>
            <w:r>
              <w:rPr>
                <w:rFonts w:ascii="宋体" w:hAnsi="宋体" w:cs="宋体" w:hint="eastAsia"/>
                <w:sz w:val="20"/>
                <w:szCs w:val="20"/>
              </w:rPr>
              <w:t>以来</w:t>
            </w:r>
            <w:r w:rsidRPr="003316D6">
              <w:rPr>
                <w:rFonts w:ascii="宋体" w:hAnsi="宋体" w:cs="宋体" w:hint="eastAsia"/>
                <w:sz w:val="20"/>
                <w:szCs w:val="20"/>
              </w:rPr>
              <w:t>，华夏银行上海自贸试验区分行积极对接首批认定的平行进口汽车试点企业，针对该企业平行进口汽车在进口、展示、销售等环节的结算和融资需求，个性化地设计并提供基于</w:t>
            </w:r>
            <w:r w:rsidRPr="003316D6">
              <w:rPr>
                <w:rFonts w:ascii="宋体" w:hAnsi="宋体" w:cs="宋体"/>
                <w:sz w:val="20"/>
                <w:szCs w:val="20"/>
              </w:rPr>
              <w:t>FT</w:t>
            </w:r>
            <w:r w:rsidRPr="003316D6">
              <w:rPr>
                <w:rFonts w:ascii="宋体" w:hAnsi="宋体" w:cs="宋体" w:hint="eastAsia"/>
                <w:sz w:val="20"/>
                <w:szCs w:val="20"/>
              </w:rPr>
              <w:t>账户项下跨境贸易金融、供应链金融等一揽子综合金融服务方案，涵盖信用证结算、贸易融资、外汇理财、网络金融、汽车消费信贷、</w:t>
            </w:r>
            <w:r w:rsidRPr="003316D6">
              <w:rPr>
                <w:rFonts w:ascii="宋体" w:hAnsi="宋体" w:cs="宋体"/>
                <w:sz w:val="20"/>
                <w:szCs w:val="20"/>
              </w:rPr>
              <w:t>POS</w:t>
            </w:r>
            <w:r w:rsidRPr="003316D6">
              <w:rPr>
                <w:rFonts w:ascii="宋体" w:hAnsi="宋体" w:cs="宋体" w:hint="eastAsia"/>
                <w:sz w:val="20"/>
                <w:szCs w:val="20"/>
              </w:rPr>
              <w:t>服务等金融产品。</w:t>
            </w:r>
          </w:p>
          <w:p w:rsidR="000F5E2C" w:rsidRDefault="000F5E2C" w:rsidP="00FE36A1">
            <w:pPr>
              <w:widowControl/>
              <w:snapToGrid w:val="0"/>
              <w:rPr>
                <w:rFonts w:ascii="宋体" w:cs="Times New Roman"/>
                <w:sz w:val="20"/>
                <w:szCs w:val="20"/>
              </w:rPr>
            </w:pPr>
          </w:p>
          <w:p w:rsidR="000F5E2C" w:rsidRPr="003316D6" w:rsidRDefault="000F5E2C" w:rsidP="00FE36A1">
            <w:pPr>
              <w:widowControl/>
              <w:snapToGrid w:val="0"/>
              <w:rPr>
                <w:rFonts w:ascii="宋体" w:cs="Times New Roman"/>
                <w:sz w:val="20"/>
                <w:szCs w:val="20"/>
              </w:rPr>
            </w:pPr>
          </w:p>
        </w:tc>
        <w:tc>
          <w:tcPr>
            <w:tcW w:w="4820" w:type="dxa"/>
            <w:vAlign w:val="center"/>
          </w:tcPr>
          <w:p w:rsidR="000F5E2C" w:rsidRPr="003316D6" w:rsidRDefault="000F5E2C" w:rsidP="00D36487">
            <w:pPr>
              <w:widowControl/>
              <w:snapToGrid w:val="0"/>
              <w:rPr>
                <w:rFonts w:ascii="宋体" w:cs="Times New Roman"/>
                <w:sz w:val="20"/>
                <w:szCs w:val="20"/>
              </w:rPr>
            </w:pPr>
            <w:r w:rsidRPr="003316D6">
              <w:rPr>
                <w:rFonts w:ascii="宋体" w:hAnsi="宋体" w:cs="宋体" w:hint="eastAsia"/>
                <w:sz w:val="20"/>
                <w:szCs w:val="20"/>
              </w:rPr>
              <w:t>一是灵活运用自由贸易账户满足客户需求，对接境外市场利率和汇率，有效降低客户融资成本。</w:t>
            </w:r>
          </w:p>
          <w:p w:rsidR="000F5E2C" w:rsidRPr="003316D6" w:rsidRDefault="000F5E2C" w:rsidP="00D36487">
            <w:pPr>
              <w:widowControl/>
              <w:snapToGrid w:val="0"/>
              <w:rPr>
                <w:rFonts w:ascii="宋体" w:cs="Times New Roman"/>
                <w:sz w:val="20"/>
                <w:szCs w:val="20"/>
              </w:rPr>
            </w:pPr>
            <w:r w:rsidRPr="003316D6">
              <w:rPr>
                <w:rFonts w:ascii="宋体" w:hAnsi="宋体" w:cs="宋体" w:hint="eastAsia"/>
                <w:sz w:val="20"/>
                <w:szCs w:val="20"/>
              </w:rPr>
              <w:t>二是全面联动对公条线，以基础结算业务为切入点，联合多部门设计集贸易融资、供应链金融、汽车消费信贷等全方位综合金融服务方案。</w:t>
            </w:r>
          </w:p>
          <w:p w:rsidR="000F5E2C" w:rsidRPr="003316D6" w:rsidRDefault="000F5E2C" w:rsidP="00D36487">
            <w:pPr>
              <w:widowControl/>
              <w:snapToGrid w:val="0"/>
              <w:rPr>
                <w:rFonts w:ascii="宋体" w:cs="Times New Roman"/>
                <w:sz w:val="20"/>
                <w:szCs w:val="20"/>
              </w:rPr>
            </w:pPr>
            <w:r w:rsidRPr="003316D6">
              <w:rPr>
                <w:rFonts w:ascii="宋体" w:hAnsi="宋体" w:cs="宋体" w:hint="eastAsia"/>
                <w:sz w:val="20"/>
                <w:szCs w:val="20"/>
              </w:rPr>
              <w:t>三是综合金融服务方案打破银行属地管理限制，实现异地授信、线上放款、随借随还，联通区内外、境内外的整个供应链。</w:t>
            </w:r>
          </w:p>
          <w:p w:rsidR="000F5E2C" w:rsidRDefault="000F5E2C" w:rsidP="00D36487">
            <w:pPr>
              <w:widowControl/>
              <w:snapToGrid w:val="0"/>
              <w:rPr>
                <w:rFonts w:ascii="宋体" w:cs="Times New Roman"/>
                <w:sz w:val="20"/>
                <w:szCs w:val="20"/>
              </w:rPr>
            </w:pPr>
          </w:p>
          <w:p w:rsidR="000F5E2C" w:rsidRPr="003316D6" w:rsidRDefault="000F5E2C" w:rsidP="00D36487">
            <w:pPr>
              <w:widowControl/>
              <w:snapToGrid w:val="0"/>
              <w:rPr>
                <w:rFonts w:ascii="宋体" w:cs="Times New Roman"/>
                <w:sz w:val="20"/>
                <w:szCs w:val="20"/>
              </w:rPr>
            </w:pPr>
          </w:p>
        </w:tc>
        <w:tc>
          <w:tcPr>
            <w:tcW w:w="3670" w:type="dxa"/>
            <w:vAlign w:val="center"/>
          </w:tcPr>
          <w:p w:rsidR="000F5E2C" w:rsidRPr="003316D6" w:rsidRDefault="000F5E2C" w:rsidP="00D36487">
            <w:pPr>
              <w:widowControl/>
              <w:shd w:val="clear" w:color="auto" w:fill="FFFFFF"/>
              <w:snapToGrid w:val="0"/>
              <w:rPr>
                <w:rFonts w:ascii="宋体" w:cs="Times New Roman"/>
                <w:sz w:val="20"/>
                <w:szCs w:val="20"/>
              </w:rPr>
            </w:pPr>
            <w:r w:rsidRPr="003316D6">
              <w:rPr>
                <w:rFonts w:ascii="宋体" w:hAnsi="宋体" w:cs="宋体" w:hint="eastAsia"/>
                <w:sz w:val="20"/>
                <w:szCs w:val="20"/>
              </w:rPr>
              <w:t>一是企业通过</w:t>
            </w:r>
            <w:r w:rsidRPr="003316D6">
              <w:rPr>
                <w:rFonts w:ascii="Times New Roman" w:hAnsi="Times New Roman" w:cs="Times New Roman"/>
                <w:sz w:val="20"/>
                <w:szCs w:val="20"/>
              </w:rPr>
              <w:t>FT</w:t>
            </w:r>
            <w:r w:rsidRPr="003316D6">
              <w:rPr>
                <w:rFonts w:ascii="宋体" w:hAnsi="宋体" w:cs="宋体" w:hint="eastAsia"/>
                <w:sz w:val="20"/>
                <w:szCs w:val="20"/>
              </w:rPr>
              <w:t>账户可多元化获得境内外融资，自主选择境内外市场汇率，顺利打通国际贸易上下游环节，有效降低企业资金运营成本。</w:t>
            </w:r>
          </w:p>
          <w:p w:rsidR="000F5E2C" w:rsidRPr="003316D6" w:rsidRDefault="000F5E2C" w:rsidP="00790CC5">
            <w:pPr>
              <w:widowControl/>
              <w:shd w:val="clear" w:color="auto" w:fill="FFFFFF"/>
              <w:snapToGrid w:val="0"/>
              <w:rPr>
                <w:rFonts w:ascii="宋体" w:cs="宋体"/>
                <w:sz w:val="20"/>
                <w:szCs w:val="20"/>
              </w:rPr>
            </w:pPr>
            <w:r w:rsidRPr="003316D6">
              <w:rPr>
                <w:rFonts w:ascii="宋体" w:hAnsi="宋体" w:cs="宋体" w:hint="eastAsia"/>
                <w:sz w:val="20"/>
                <w:szCs w:val="20"/>
              </w:rPr>
              <w:t>二是商业银行通过综合金融服务方案，支持了自贸试验区商事制度改革，帮助企业有效降低融资成本，提高平行进口汽车经营销售环节运作效率，</w:t>
            </w:r>
            <w:r>
              <w:rPr>
                <w:rFonts w:ascii="宋体" w:hAnsi="宋体" w:cs="宋体" w:hint="eastAsia"/>
                <w:sz w:val="20"/>
                <w:szCs w:val="20"/>
              </w:rPr>
              <w:t>有利于做大平行进口汽车规模，</w:t>
            </w:r>
            <w:r w:rsidRPr="003316D6">
              <w:rPr>
                <w:rFonts w:ascii="宋体" w:hAnsi="宋体" w:cs="宋体" w:hint="eastAsia"/>
                <w:sz w:val="20"/>
                <w:szCs w:val="20"/>
              </w:rPr>
              <w:t>提升境内外、上下游各类客户体验满意度</w:t>
            </w:r>
            <w:r>
              <w:rPr>
                <w:rFonts w:ascii="宋体" w:hAnsi="宋体" w:cs="宋体" w:hint="eastAsia"/>
                <w:sz w:val="20"/>
                <w:szCs w:val="20"/>
              </w:rPr>
              <w:t>。</w:t>
            </w:r>
            <w:r w:rsidRPr="003316D6">
              <w:rPr>
                <w:rFonts w:ascii="宋体" w:cs="宋体"/>
                <w:sz w:val="20"/>
                <w:szCs w:val="20"/>
              </w:rPr>
              <w:t xml:space="preserve"> </w:t>
            </w:r>
          </w:p>
        </w:tc>
      </w:tr>
      <w:tr w:rsidR="000F5E2C" w:rsidRPr="003316D6">
        <w:trPr>
          <w:trHeight w:val="78"/>
          <w:jc w:val="center"/>
        </w:trPr>
        <w:tc>
          <w:tcPr>
            <w:tcW w:w="700" w:type="dxa"/>
          </w:tcPr>
          <w:p w:rsidR="000F5E2C" w:rsidRPr="00241F33" w:rsidRDefault="000F5E2C" w:rsidP="00241F33">
            <w:pPr>
              <w:spacing w:line="360" w:lineRule="auto"/>
              <w:jc w:val="center"/>
              <w:rPr>
                <w:rFonts w:ascii="宋体" w:cs="Times New Roman"/>
                <w:b/>
                <w:bCs/>
                <w:color w:val="000000"/>
                <w:sz w:val="24"/>
                <w:szCs w:val="24"/>
              </w:rPr>
            </w:pPr>
            <w:r>
              <w:rPr>
                <w:rFonts w:ascii="宋体" w:hAnsi="宋体" w:cs="宋体" w:hint="eastAsia"/>
                <w:b/>
                <w:bCs/>
                <w:color w:val="000000"/>
                <w:sz w:val="24"/>
                <w:szCs w:val="24"/>
              </w:rPr>
              <w:t>序号</w:t>
            </w:r>
          </w:p>
        </w:tc>
        <w:tc>
          <w:tcPr>
            <w:tcW w:w="762" w:type="dxa"/>
          </w:tcPr>
          <w:p w:rsidR="000F5E2C" w:rsidRPr="00241F33" w:rsidRDefault="000F5E2C" w:rsidP="00241F33">
            <w:pPr>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类别</w:t>
            </w:r>
          </w:p>
        </w:tc>
        <w:tc>
          <w:tcPr>
            <w:tcW w:w="1418"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案例名称</w:t>
            </w:r>
          </w:p>
        </w:tc>
        <w:tc>
          <w:tcPr>
            <w:tcW w:w="4819"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Pr>
                <w:rFonts w:ascii="宋体" w:hAnsi="宋体" w:cs="宋体" w:hint="eastAsia"/>
                <w:b/>
                <w:bCs/>
                <w:color w:val="000000"/>
                <w:sz w:val="24"/>
                <w:szCs w:val="24"/>
              </w:rPr>
              <w:t>主要内容</w:t>
            </w:r>
          </w:p>
        </w:tc>
        <w:tc>
          <w:tcPr>
            <w:tcW w:w="482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创新点</w:t>
            </w:r>
          </w:p>
        </w:tc>
        <w:tc>
          <w:tcPr>
            <w:tcW w:w="3670" w:type="dxa"/>
          </w:tcPr>
          <w:p w:rsidR="000F5E2C" w:rsidRPr="00241F33" w:rsidRDefault="000F5E2C" w:rsidP="00241F33">
            <w:pPr>
              <w:tabs>
                <w:tab w:val="center" w:pos="4153"/>
                <w:tab w:val="right" w:pos="8306"/>
              </w:tabs>
              <w:spacing w:line="360" w:lineRule="auto"/>
              <w:jc w:val="center"/>
              <w:rPr>
                <w:rFonts w:ascii="宋体" w:cs="Times New Roman"/>
                <w:b/>
                <w:bCs/>
                <w:color w:val="000000"/>
                <w:sz w:val="24"/>
                <w:szCs w:val="24"/>
              </w:rPr>
            </w:pPr>
            <w:r w:rsidRPr="00CF2FCB">
              <w:rPr>
                <w:rFonts w:ascii="宋体" w:hAnsi="宋体" w:cs="宋体" w:hint="eastAsia"/>
                <w:b/>
                <w:bCs/>
                <w:color w:val="000000"/>
                <w:sz w:val="24"/>
                <w:szCs w:val="24"/>
              </w:rPr>
              <w:t>应用价值</w:t>
            </w:r>
          </w:p>
        </w:tc>
      </w:tr>
      <w:tr w:rsidR="000F5E2C" w:rsidRPr="003316D6">
        <w:trPr>
          <w:trHeight w:val="78"/>
          <w:jc w:val="center"/>
        </w:trPr>
        <w:tc>
          <w:tcPr>
            <w:tcW w:w="700" w:type="dxa"/>
          </w:tcPr>
          <w:p w:rsidR="000F5E2C" w:rsidRDefault="000F5E2C" w:rsidP="00FE36A1">
            <w:pPr>
              <w:jc w:val="center"/>
              <w:rPr>
                <w:rFonts w:ascii="宋体" w:cs="Times New Roman"/>
                <w:sz w:val="20"/>
                <w:szCs w:val="20"/>
              </w:rPr>
            </w:pPr>
          </w:p>
          <w:p w:rsidR="000F5E2C" w:rsidRDefault="000F5E2C" w:rsidP="00FE36A1">
            <w:pPr>
              <w:jc w:val="center"/>
              <w:rPr>
                <w:rFonts w:ascii="宋体" w:cs="Times New Roman"/>
                <w:sz w:val="20"/>
                <w:szCs w:val="20"/>
              </w:rPr>
            </w:pPr>
          </w:p>
          <w:p w:rsidR="000F5E2C" w:rsidRPr="003316D6" w:rsidRDefault="000F5E2C" w:rsidP="00FE36A1">
            <w:pPr>
              <w:jc w:val="center"/>
              <w:rPr>
                <w:rFonts w:ascii="宋体" w:cs="Times New Roman"/>
                <w:sz w:val="20"/>
                <w:szCs w:val="20"/>
              </w:rPr>
            </w:pPr>
            <w:r w:rsidRPr="003316D6">
              <w:rPr>
                <w:rFonts w:ascii="宋体" w:hAnsi="宋体" w:cs="宋体"/>
                <w:sz w:val="20"/>
                <w:szCs w:val="20"/>
              </w:rPr>
              <w:t>13</w:t>
            </w:r>
          </w:p>
        </w:tc>
        <w:tc>
          <w:tcPr>
            <w:tcW w:w="762" w:type="dxa"/>
            <w:vAlign w:val="center"/>
          </w:tcPr>
          <w:p w:rsidR="000F5E2C"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保险服务创新</w:t>
            </w:r>
          </w:p>
          <w:p w:rsidR="000F5E2C" w:rsidRPr="003316D6" w:rsidRDefault="000F5E2C" w:rsidP="009C5AB4">
            <w:pPr>
              <w:jc w:val="center"/>
              <w:rPr>
                <w:rFonts w:ascii="宋体" w:cs="Times New Roman"/>
                <w:sz w:val="20"/>
                <w:szCs w:val="20"/>
              </w:rPr>
            </w:pPr>
          </w:p>
        </w:tc>
        <w:tc>
          <w:tcPr>
            <w:tcW w:w="1418" w:type="dxa"/>
            <w:vAlign w:val="center"/>
          </w:tcPr>
          <w:p w:rsidR="000F5E2C" w:rsidRDefault="000F5E2C" w:rsidP="009C5AB4">
            <w:pPr>
              <w:jc w:val="left"/>
              <w:rPr>
                <w:rFonts w:ascii="宋体" w:cs="Times New Roman"/>
                <w:sz w:val="20"/>
                <w:szCs w:val="20"/>
              </w:rPr>
            </w:pPr>
          </w:p>
          <w:p w:rsidR="000F5E2C" w:rsidRPr="003316D6" w:rsidRDefault="000F5E2C" w:rsidP="00D670E6">
            <w:pPr>
              <w:jc w:val="left"/>
              <w:rPr>
                <w:rFonts w:ascii="宋体" w:cs="Times New Roman"/>
                <w:sz w:val="20"/>
                <w:szCs w:val="20"/>
              </w:rPr>
            </w:pPr>
            <w:r w:rsidRPr="003316D6">
              <w:rPr>
                <w:rFonts w:ascii="宋体" w:hAnsi="宋体" w:cs="宋体" w:hint="eastAsia"/>
                <w:sz w:val="20"/>
                <w:szCs w:val="20"/>
              </w:rPr>
              <w:t>上海航运保险协会全国首推海事诉讼保全责任保险</w:t>
            </w:r>
          </w:p>
        </w:tc>
        <w:tc>
          <w:tcPr>
            <w:tcW w:w="4819" w:type="dxa"/>
            <w:vAlign w:val="center"/>
          </w:tcPr>
          <w:p w:rsidR="000F5E2C" w:rsidRDefault="000F5E2C" w:rsidP="009C5AB4">
            <w:pPr>
              <w:snapToGrid w:val="0"/>
              <w:rPr>
                <w:rFonts w:ascii="宋体" w:cs="Times New Roman"/>
                <w:sz w:val="20"/>
                <w:szCs w:val="20"/>
              </w:rPr>
            </w:pPr>
            <w:r w:rsidRPr="003316D6">
              <w:rPr>
                <w:rFonts w:ascii="宋体" w:hAnsi="宋体" w:cs="宋体" w:hint="eastAsia"/>
                <w:sz w:val="20"/>
                <w:szCs w:val="20"/>
              </w:rPr>
              <w:t>针对海事诉讼“保全难”问题，上海航运保险协会组织成员单位等开发了“上海航运保险协会海事诉讼保全责任保险”。</w:t>
            </w: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8</w:t>
            </w:r>
            <w:r w:rsidRPr="003316D6">
              <w:rPr>
                <w:rFonts w:ascii="宋体" w:hAnsi="宋体" w:cs="宋体" w:hint="eastAsia"/>
                <w:sz w:val="20"/>
                <w:szCs w:val="20"/>
              </w:rPr>
              <w:t>月</w:t>
            </w:r>
            <w:r w:rsidRPr="003316D6">
              <w:rPr>
                <w:rFonts w:ascii="宋体" w:hAnsi="宋体" w:cs="宋体"/>
                <w:sz w:val="20"/>
                <w:szCs w:val="20"/>
              </w:rPr>
              <w:t>25</w:t>
            </w:r>
            <w:r w:rsidRPr="003316D6">
              <w:rPr>
                <w:rFonts w:ascii="宋体" w:hAnsi="宋体" w:cs="宋体" w:hint="eastAsia"/>
                <w:sz w:val="20"/>
                <w:szCs w:val="20"/>
              </w:rPr>
              <w:t>日，上海航运保险协会“海事诉讼保全责任保险”完成注册，协会会员可以经营该产品。同日，全国首张海事诉讼保全责任保险保单面世，由中国太平洋财产保险公司出单。</w:t>
            </w:r>
          </w:p>
          <w:p w:rsidR="000F5E2C" w:rsidRPr="003316D6"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tc>
        <w:tc>
          <w:tcPr>
            <w:tcW w:w="4820" w:type="dxa"/>
            <w:vAlign w:val="center"/>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一是为海事诉讼保全申请人提供了新的担保方式。与现金担保、保证担保等传统保全方式相比，海事保全请求人只需要支付相应保险金便可启动保全程序，体现了成本可控，手续简便的特点。</w:t>
            </w:r>
          </w:p>
          <w:p w:rsidR="000F5E2C" w:rsidRDefault="000F5E2C" w:rsidP="00D619E1">
            <w:pPr>
              <w:snapToGrid w:val="0"/>
              <w:rPr>
                <w:rFonts w:ascii="宋体" w:cs="Times New Roman"/>
                <w:sz w:val="20"/>
                <w:szCs w:val="20"/>
              </w:rPr>
            </w:pPr>
            <w:r w:rsidRPr="003316D6">
              <w:rPr>
                <w:rFonts w:ascii="宋体" w:hAnsi="宋体" w:cs="宋体" w:hint="eastAsia"/>
                <w:sz w:val="20"/>
                <w:szCs w:val="20"/>
              </w:rPr>
              <w:t>二是产品针对海事诉讼保全风险特点设计，满足海事请求保全、海事强制令、海事证据保全等不同海事诉讼保全的差异化风险需求。</w:t>
            </w:r>
          </w:p>
          <w:p w:rsidR="000F5E2C" w:rsidRPr="003316D6" w:rsidRDefault="000F5E2C" w:rsidP="00D619E1">
            <w:pPr>
              <w:snapToGrid w:val="0"/>
              <w:rPr>
                <w:rFonts w:ascii="宋体" w:cs="Times New Roman"/>
                <w:sz w:val="20"/>
                <w:szCs w:val="20"/>
              </w:rPr>
            </w:pPr>
          </w:p>
        </w:tc>
        <w:tc>
          <w:tcPr>
            <w:tcW w:w="3670" w:type="dxa"/>
            <w:vAlign w:val="center"/>
          </w:tcPr>
          <w:p w:rsidR="000F5E2C" w:rsidRPr="003316D6" w:rsidRDefault="000F5E2C" w:rsidP="009C5AB4">
            <w:pPr>
              <w:snapToGrid w:val="0"/>
              <w:rPr>
                <w:rFonts w:ascii="宋体" w:cs="Times New Roman"/>
                <w:sz w:val="20"/>
                <w:szCs w:val="20"/>
              </w:rPr>
            </w:pPr>
            <w:r>
              <w:rPr>
                <w:rFonts w:ascii="宋体" w:hAnsi="宋体" w:cs="宋体" w:hint="eastAsia"/>
                <w:sz w:val="20"/>
                <w:szCs w:val="20"/>
              </w:rPr>
              <w:t>一是</w:t>
            </w:r>
            <w:r w:rsidRPr="003316D6">
              <w:rPr>
                <w:rFonts w:ascii="宋体" w:hAnsi="宋体" w:cs="宋体" w:hint="eastAsia"/>
                <w:sz w:val="20"/>
                <w:szCs w:val="20"/>
              </w:rPr>
              <w:t>降低</w:t>
            </w:r>
            <w:r>
              <w:rPr>
                <w:rFonts w:ascii="宋体" w:hAnsi="宋体" w:cs="宋体" w:hint="eastAsia"/>
                <w:sz w:val="20"/>
                <w:szCs w:val="20"/>
              </w:rPr>
              <w:t>了</w:t>
            </w:r>
            <w:r w:rsidRPr="003316D6">
              <w:rPr>
                <w:rFonts w:ascii="宋体" w:hAnsi="宋体" w:cs="宋体" w:hint="eastAsia"/>
                <w:sz w:val="20"/>
                <w:szCs w:val="20"/>
              </w:rPr>
              <w:t>海事保全申请人的诉讼成本，减轻航运贸易企业在海事诉讼中的经济压力。</w:t>
            </w:r>
          </w:p>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二是有利于维护海事保全被申请人合法权益，提升海事司法执行效率。</w:t>
            </w:r>
          </w:p>
          <w:p w:rsidR="000F5E2C" w:rsidRPr="003316D6" w:rsidRDefault="000F5E2C" w:rsidP="00D619E1">
            <w:pPr>
              <w:snapToGrid w:val="0"/>
              <w:rPr>
                <w:rFonts w:ascii="宋体" w:cs="Times New Roman"/>
                <w:sz w:val="20"/>
                <w:szCs w:val="20"/>
              </w:rPr>
            </w:pPr>
            <w:r w:rsidRPr="003316D6">
              <w:rPr>
                <w:rFonts w:ascii="宋体" w:hAnsi="宋体" w:cs="宋体" w:hint="eastAsia"/>
                <w:sz w:val="20"/>
                <w:szCs w:val="20"/>
              </w:rPr>
              <w:t>三是在司法领域通过引入商业保险机制这一创新方式，为保险企业服务社会治理开辟了新渠道。</w:t>
            </w:r>
          </w:p>
        </w:tc>
      </w:tr>
      <w:tr w:rsidR="000F5E2C" w:rsidRPr="003316D6">
        <w:trPr>
          <w:trHeight w:val="78"/>
          <w:jc w:val="center"/>
        </w:trPr>
        <w:tc>
          <w:tcPr>
            <w:tcW w:w="700" w:type="dxa"/>
          </w:tcPr>
          <w:p w:rsidR="000F5E2C" w:rsidRDefault="000F5E2C" w:rsidP="00FE36A1">
            <w:pPr>
              <w:jc w:val="center"/>
              <w:rPr>
                <w:rFonts w:ascii="宋体" w:cs="Times New Roman"/>
                <w:sz w:val="20"/>
                <w:szCs w:val="20"/>
              </w:rPr>
            </w:pPr>
          </w:p>
          <w:p w:rsidR="000F5E2C" w:rsidRDefault="000F5E2C" w:rsidP="00FE36A1">
            <w:pPr>
              <w:jc w:val="center"/>
              <w:rPr>
                <w:rFonts w:ascii="宋体" w:cs="Times New Roman"/>
                <w:sz w:val="20"/>
                <w:szCs w:val="20"/>
              </w:rPr>
            </w:pPr>
          </w:p>
          <w:p w:rsidR="000F5E2C" w:rsidRPr="003316D6" w:rsidRDefault="000F5E2C" w:rsidP="00FE36A1">
            <w:pPr>
              <w:jc w:val="center"/>
              <w:rPr>
                <w:rFonts w:ascii="宋体" w:cs="Times New Roman"/>
                <w:sz w:val="20"/>
                <w:szCs w:val="20"/>
              </w:rPr>
            </w:pPr>
            <w:r w:rsidRPr="003316D6">
              <w:rPr>
                <w:rFonts w:ascii="宋体" w:hAnsi="宋体" w:cs="宋体"/>
                <w:sz w:val="20"/>
                <w:szCs w:val="20"/>
              </w:rPr>
              <w:t>14</w:t>
            </w:r>
          </w:p>
        </w:tc>
        <w:tc>
          <w:tcPr>
            <w:tcW w:w="762" w:type="dxa"/>
          </w:tcPr>
          <w:p w:rsidR="000F5E2C" w:rsidRPr="003316D6" w:rsidRDefault="000F5E2C" w:rsidP="009C5AB4">
            <w:pPr>
              <w:jc w:val="center"/>
              <w:rPr>
                <w:rFonts w:ascii="宋体" w:cs="Times New Roman"/>
                <w:sz w:val="20"/>
                <w:szCs w:val="20"/>
              </w:rPr>
            </w:pPr>
          </w:p>
          <w:p w:rsidR="000F5E2C"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r w:rsidRPr="003316D6">
              <w:rPr>
                <w:rFonts w:ascii="宋体" w:hAnsi="宋体" w:cs="宋体" w:hint="eastAsia"/>
                <w:sz w:val="20"/>
                <w:szCs w:val="20"/>
              </w:rPr>
              <w:t>保险服务创新</w:t>
            </w: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p w:rsidR="000F5E2C" w:rsidRPr="003316D6" w:rsidRDefault="000F5E2C" w:rsidP="009C5AB4">
            <w:pPr>
              <w:jc w:val="center"/>
              <w:rPr>
                <w:rFonts w:ascii="宋体" w:cs="Times New Roman"/>
                <w:sz w:val="20"/>
                <w:szCs w:val="20"/>
              </w:rPr>
            </w:pPr>
          </w:p>
        </w:tc>
        <w:tc>
          <w:tcPr>
            <w:tcW w:w="1418" w:type="dxa"/>
            <w:vAlign w:val="center"/>
          </w:tcPr>
          <w:p w:rsidR="000F5E2C" w:rsidRPr="003316D6" w:rsidRDefault="000F5E2C" w:rsidP="009C5AB4">
            <w:pPr>
              <w:jc w:val="left"/>
              <w:rPr>
                <w:rFonts w:ascii="宋体" w:cs="Times New Roman"/>
                <w:sz w:val="20"/>
                <w:szCs w:val="20"/>
              </w:rPr>
            </w:pPr>
            <w:r w:rsidRPr="003316D6">
              <w:rPr>
                <w:rFonts w:ascii="宋体" w:hAnsi="宋体" w:cs="宋体" w:hint="eastAsia"/>
                <w:sz w:val="20"/>
                <w:szCs w:val="20"/>
              </w:rPr>
              <w:t>上海航运保险协会发布上海航运保险指数</w:t>
            </w:r>
          </w:p>
          <w:p w:rsidR="000F5E2C" w:rsidRPr="003316D6" w:rsidRDefault="000F5E2C" w:rsidP="009C5AB4">
            <w:pPr>
              <w:jc w:val="left"/>
              <w:rPr>
                <w:rFonts w:ascii="宋体" w:cs="Times New Roman"/>
                <w:sz w:val="20"/>
                <w:szCs w:val="20"/>
              </w:rPr>
            </w:pPr>
          </w:p>
          <w:p w:rsidR="000F5E2C" w:rsidRPr="003316D6" w:rsidRDefault="000F5E2C" w:rsidP="009C5AB4">
            <w:pPr>
              <w:jc w:val="left"/>
              <w:rPr>
                <w:rFonts w:ascii="宋体" w:cs="Times New Roman"/>
                <w:sz w:val="20"/>
                <w:szCs w:val="20"/>
              </w:rPr>
            </w:pPr>
          </w:p>
          <w:p w:rsidR="000F5E2C" w:rsidRPr="003316D6" w:rsidRDefault="000F5E2C" w:rsidP="009C5AB4">
            <w:pPr>
              <w:jc w:val="left"/>
              <w:rPr>
                <w:rFonts w:ascii="宋体" w:cs="Times New Roman"/>
                <w:sz w:val="20"/>
                <w:szCs w:val="20"/>
              </w:rPr>
            </w:pPr>
          </w:p>
        </w:tc>
        <w:tc>
          <w:tcPr>
            <w:tcW w:w="4819" w:type="dxa"/>
            <w:vAlign w:val="center"/>
          </w:tcPr>
          <w:p w:rsidR="000F5E2C" w:rsidRDefault="000F5E2C" w:rsidP="009C5AB4">
            <w:pPr>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9</w:t>
            </w:r>
            <w:r w:rsidRPr="003316D6">
              <w:rPr>
                <w:rFonts w:ascii="宋体" w:hAnsi="宋体" w:cs="宋体" w:hint="eastAsia"/>
                <w:sz w:val="20"/>
                <w:szCs w:val="20"/>
              </w:rPr>
              <w:t>月</w:t>
            </w:r>
            <w:r w:rsidRPr="003316D6">
              <w:rPr>
                <w:rFonts w:ascii="宋体" w:hAnsi="宋体" w:cs="宋体"/>
                <w:sz w:val="20"/>
                <w:szCs w:val="20"/>
              </w:rPr>
              <w:t>26</w:t>
            </w:r>
            <w:r w:rsidRPr="003316D6">
              <w:rPr>
                <w:rFonts w:ascii="宋体" w:hAnsi="宋体" w:cs="宋体" w:hint="eastAsia"/>
                <w:sz w:val="20"/>
                <w:szCs w:val="20"/>
              </w:rPr>
              <w:t>日，上海航运保险协会发布上海航运保险指数（</w:t>
            </w:r>
            <w:r w:rsidRPr="003316D6">
              <w:rPr>
                <w:rFonts w:ascii="宋体" w:hAnsi="宋体" w:cs="宋体"/>
                <w:sz w:val="20"/>
                <w:szCs w:val="20"/>
              </w:rPr>
              <w:t>SMII</w:t>
            </w:r>
            <w:r w:rsidRPr="003316D6">
              <w:rPr>
                <w:rFonts w:ascii="宋体" w:hAnsi="宋体" w:cs="宋体" w:hint="eastAsia"/>
                <w:sz w:val="20"/>
                <w:szCs w:val="20"/>
              </w:rPr>
              <w:t>）。作为在全球航运保险专业指数领域进行的有益探索，上海航运保险指数是综合反映中国航运保险经营情况和风险状况的多层次指数体系，由“一数、三线、一表”构成。“一数”是指航运保险综合指数，“三线”是指行业曲线、国际市场参照曲线及国民经济参照曲线，“一表”是指风险损失表。</w:t>
            </w:r>
          </w:p>
          <w:p w:rsidR="000F5E2C" w:rsidRPr="003316D6"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tc>
        <w:tc>
          <w:tcPr>
            <w:tcW w:w="4820" w:type="dxa"/>
            <w:vAlign w:val="center"/>
          </w:tcPr>
          <w:p w:rsidR="000F5E2C" w:rsidRPr="003316D6" w:rsidRDefault="000F5E2C" w:rsidP="009C5AB4">
            <w:pPr>
              <w:snapToGrid w:val="0"/>
              <w:rPr>
                <w:rFonts w:ascii="宋体" w:cs="Times New Roman"/>
                <w:sz w:val="20"/>
                <w:szCs w:val="20"/>
              </w:rPr>
            </w:pPr>
            <w:r w:rsidRPr="003316D6">
              <w:rPr>
                <w:rFonts w:ascii="宋体" w:hAnsi="宋体" w:cs="宋体" w:hint="eastAsia"/>
                <w:sz w:val="20"/>
                <w:szCs w:val="20"/>
              </w:rPr>
              <w:t>一是上海航运保险指数的数据来源覆盖了</w:t>
            </w:r>
            <w:r w:rsidRPr="003316D6">
              <w:rPr>
                <w:rFonts w:ascii="宋体" w:hAnsi="宋体" w:cs="宋体"/>
                <w:sz w:val="20"/>
                <w:szCs w:val="20"/>
              </w:rPr>
              <w:t>10</w:t>
            </w:r>
            <w:r w:rsidRPr="003316D6">
              <w:rPr>
                <w:rFonts w:ascii="宋体" w:hAnsi="宋体" w:cs="宋体" w:hint="eastAsia"/>
                <w:sz w:val="20"/>
                <w:szCs w:val="20"/>
              </w:rPr>
              <w:t>年来中国航运保险市场主要经营主体的货运险、船舶险的保单和赔案数据，统计主体的船舶险保费和货运险保费分别占全国市场份额的</w:t>
            </w:r>
            <w:r w:rsidRPr="003316D6">
              <w:rPr>
                <w:rFonts w:ascii="宋体" w:hAnsi="宋体" w:cs="宋体"/>
                <w:sz w:val="20"/>
                <w:szCs w:val="20"/>
              </w:rPr>
              <w:t>85%</w:t>
            </w:r>
            <w:r w:rsidRPr="003316D6">
              <w:rPr>
                <w:rFonts w:ascii="宋体" w:hAnsi="宋体" w:cs="宋体" w:hint="eastAsia"/>
                <w:sz w:val="20"/>
                <w:szCs w:val="20"/>
              </w:rPr>
              <w:t>和</w:t>
            </w:r>
            <w:r w:rsidRPr="003316D6">
              <w:rPr>
                <w:rFonts w:ascii="宋体" w:hAnsi="宋体" w:cs="宋体"/>
                <w:sz w:val="20"/>
                <w:szCs w:val="20"/>
              </w:rPr>
              <w:t>70%</w:t>
            </w:r>
            <w:r w:rsidRPr="003316D6">
              <w:rPr>
                <w:rFonts w:ascii="宋体" w:hAnsi="宋体" w:cs="宋体" w:hint="eastAsia"/>
                <w:sz w:val="20"/>
                <w:szCs w:val="20"/>
              </w:rPr>
              <w:t>。</w:t>
            </w:r>
          </w:p>
          <w:p w:rsidR="000F5E2C" w:rsidRDefault="000F5E2C" w:rsidP="009C5AB4">
            <w:pPr>
              <w:snapToGrid w:val="0"/>
              <w:rPr>
                <w:rFonts w:ascii="宋体" w:cs="Times New Roman"/>
                <w:sz w:val="20"/>
                <w:szCs w:val="20"/>
              </w:rPr>
            </w:pPr>
            <w:r w:rsidRPr="003316D6">
              <w:rPr>
                <w:rFonts w:ascii="宋体" w:hAnsi="宋体" w:cs="宋体" w:hint="eastAsia"/>
                <w:sz w:val="20"/>
                <w:szCs w:val="20"/>
              </w:rPr>
              <w:t>二是除综合指数外，行业曲线区分船舶险、货运险和船建险，反映单一险种及细分领域变化趋势；国民经济参照曲线细分为进出口覆盖比例和“一带一路”支持情况；风险损失表由纯风险损失表和风险损失指数组成，分别反映纯风险损失率和赔付率的时间变化。</w:t>
            </w:r>
          </w:p>
          <w:p w:rsidR="000F5E2C"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p w:rsidR="000F5E2C" w:rsidRPr="003316D6" w:rsidRDefault="000F5E2C" w:rsidP="009C5AB4">
            <w:pPr>
              <w:snapToGrid w:val="0"/>
              <w:rPr>
                <w:rFonts w:ascii="宋体" w:cs="Times New Roman"/>
                <w:sz w:val="20"/>
                <w:szCs w:val="20"/>
              </w:rPr>
            </w:pPr>
          </w:p>
        </w:tc>
        <w:tc>
          <w:tcPr>
            <w:tcW w:w="3670" w:type="dxa"/>
            <w:vAlign w:val="center"/>
          </w:tcPr>
          <w:p w:rsidR="000F5E2C" w:rsidRPr="003316D6" w:rsidRDefault="000F5E2C" w:rsidP="009C5AB4">
            <w:pPr>
              <w:widowControl/>
              <w:snapToGrid w:val="0"/>
              <w:rPr>
                <w:rFonts w:ascii="宋体" w:cs="Times New Roman"/>
                <w:sz w:val="20"/>
                <w:szCs w:val="20"/>
              </w:rPr>
            </w:pPr>
            <w:r w:rsidRPr="003316D6">
              <w:rPr>
                <w:rFonts w:ascii="宋体" w:hAnsi="宋体" w:cs="宋体" w:hint="eastAsia"/>
                <w:sz w:val="20"/>
                <w:szCs w:val="20"/>
              </w:rPr>
              <w:t>一是编制和发布上海航运保险指数可以进一步丰富航运市场指数评价体系，有助于保险机构全面认识航运保险经营风险，为理性决定承保条件和科学厘定保险费率提供决策支持。</w:t>
            </w:r>
          </w:p>
          <w:p w:rsidR="000F5E2C" w:rsidRPr="003316D6" w:rsidRDefault="000F5E2C" w:rsidP="009C5AB4">
            <w:pPr>
              <w:widowControl/>
              <w:snapToGrid w:val="0"/>
              <w:rPr>
                <w:rFonts w:ascii="宋体" w:cs="Times New Roman"/>
                <w:sz w:val="20"/>
                <w:szCs w:val="20"/>
              </w:rPr>
            </w:pPr>
            <w:r>
              <w:rPr>
                <w:rFonts w:ascii="宋体" w:hAnsi="宋体" w:cs="宋体" w:hint="eastAsia"/>
                <w:sz w:val="20"/>
                <w:szCs w:val="20"/>
              </w:rPr>
              <w:t>二是有利于</w:t>
            </w:r>
            <w:r w:rsidRPr="003316D6">
              <w:rPr>
                <w:rFonts w:ascii="宋体" w:hAnsi="宋体" w:cs="宋体" w:hint="eastAsia"/>
                <w:sz w:val="20"/>
                <w:szCs w:val="20"/>
              </w:rPr>
              <w:t>保险机构优化航运保险和再保险策略，更好地支配国际国内两个市场的承保资源，促进保险更好地服务实体经济。</w:t>
            </w:r>
          </w:p>
          <w:p w:rsidR="000F5E2C" w:rsidRPr="003316D6" w:rsidRDefault="000F5E2C" w:rsidP="00790CC5">
            <w:pPr>
              <w:widowControl/>
              <w:snapToGrid w:val="0"/>
              <w:rPr>
                <w:rFonts w:ascii="宋体" w:cs="Times New Roman"/>
                <w:sz w:val="20"/>
                <w:szCs w:val="20"/>
              </w:rPr>
            </w:pPr>
            <w:r w:rsidRPr="003316D6">
              <w:rPr>
                <w:rFonts w:ascii="宋体" w:hAnsi="宋体" w:cs="宋体" w:hint="eastAsia"/>
                <w:sz w:val="20"/>
                <w:szCs w:val="20"/>
              </w:rPr>
              <w:t>三是</w:t>
            </w:r>
            <w:r>
              <w:rPr>
                <w:rFonts w:ascii="宋体" w:hAnsi="宋体" w:cs="宋体" w:hint="eastAsia"/>
                <w:sz w:val="20"/>
                <w:szCs w:val="20"/>
              </w:rPr>
              <w:t>有利于</w:t>
            </w:r>
            <w:r w:rsidRPr="003316D6">
              <w:rPr>
                <w:rFonts w:ascii="宋体" w:hAnsi="宋体" w:cs="宋体" w:hint="eastAsia"/>
                <w:sz w:val="20"/>
                <w:szCs w:val="20"/>
              </w:rPr>
              <w:t>推进上海国际航运保险中心建设，提升保险业在上海国际金融中心建设中的地位和影响力。</w:t>
            </w:r>
          </w:p>
        </w:tc>
      </w:tr>
      <w:tr w:rsidR="000F5E2C" w:rsidRPr="003316D6">
        <w:trPr>
          <w:trHeight w:val="78"/>
          <w:jc w:val="center"/>
        </w:trPr>
        <w:tc>
          <w:tcPr>
            <w:tcW w:w="700" w:type="dxa"/>
          </w:tcPr>
          <w:p w:rsidR="000F5E2C" w:rsidRPr="003316D6" w:rsidRDefault="000F5E2C" w:rsidP="00FA6769">
            <w:pPr>
              <w:jc w:val="center"/>
              <w:rPr>
                <w:rFonts w:ascii="宋体" w:cs="Times New Roman"/>
                <w:sz w:val="20"/>
                <w:szCs w:val="20"/>
              </w:rPr>
            </w:pPr>
          </w:p>
          <w:p w:rsidR="000F5E2C" w:rsidRDefault="000F5E2C" w:rsidP="00FA6769">
            <w:pPr>
              <w:jc w:val="center"/>
              <w:rPr>
                <w:rFonts w:ascii="宋体" w:cs="Times New Roman"/>
                <w:sz w:val="20"/>
                <w:szCs w:val="20"/>
              </w:rPr>
            </w:pPr>
          </w:p>
          <w:p w:rsidR="000F5E2C" w:rsidRPr="003316D6" w:rsidRDefault="000F5E2C" w:rsidP="00FA6769">
            <w:pPr>
              <w:jc w:val="center"/>
              <w:rPr>
                <w:rFonts w:ascii="宋体" w:cs="Times New Roman"/>
                <w:sz w:val="20"/>
                <w:szCs w:val="20"/>
              </w:rPr>
            </w:pPr>
            <w:r w:rsidRPr="003316D6">
              <w:rPr>
                <w:rFonts w:ascii="宋体" w:hAnsi="宋体" w:cs="宋体"/>
                <w:sz w:val="20"/>
                <w:szCs w:val="20"/>
              </w:rPr>
              <w:t>15</w:t>
            </w:r>
          </w:p>
        </w:tc>
        <w:tc>
          <w:tcPr>
            <w:tcW w:w="762" w:type="dxa"/>
          </w:tcPr>
          <w:p w:rsidR="000F5E2C" w:rsidRPr="003316D6" w:rsidRDefault="000F5E2C" w:rsidP="000A5D68">
            <w:pPr>
              <w:jc w:val="center"/>
              <w:rPr>
                <w:rFonts w:ascii="宋体" w:cs="Times New Roman"/>
                <w:sz w:val="20"/>
                <w:szCs w:val="20"/>
              </w:rPr>
            </w:pPr>
          </w:p>
          <w:p w:rsidR="000F5E2C" w:rsidRDefault="000F5E2C" w:rsidP="00FE36A1">
            <w:pPr>
              <w:jc w:val="center"/>
              <w:rPr>
                <w:rFonts w:ascii="宋体" w:cs="Times New Roman"/>
                <w:sz w:val="20"/>
                <w:szCs w:val="20"/>
              </w:rPr>
            </w:pPr>
          </w:p>
          <w:p w:rsidR="000F5E2C" w:rsidRPr="003316D6" w:rsidRDefault="000F5E2C" w:rsidP="00FE36A1">
            <w:pPr>
              <w:jc w:val="center"/>
              <w:rPr>
                <w:rFonts w:ascii="宋体" w:cs="Times New Roman"/>
                <w:sz w:val="20"/>
                <w:szCs w:val="20"/>
              </w:rPr>
            </w:pPr>
            <w:r w:rsidRPr="003316D6">
              <w:rPr>
                <w:rFonts w:ascii="宋体" w:hAnsi="宋体" w:cs="宋体" w:hint="eastAsia"/>
                <w:sz w:val="20"/>
                <w:szCs w:val="20"/>
              </w:rPr>
              <w:t>保险服务创新</w:t>
            </w:r>
          </w:p>
        </w:tc>
        <w:tc>
          <w:tcPr>
            <w:tcW w:w="1418" w:type="dxa"/>
            <w:vAlign w:val="center"/>
          </w:tcPr>
          <w:p w:rsidR="000F5E2C" w:rsidRPr="003316D6" w:rsidRDefault="000F5E2C" w:rsidP="00FA3F58">
            <w:pPr>
              <w:jc w:val="left"/>
              <w:rPr>
                <w:rFonts w:ascii="宋体" w:cs="Times New Roman"/>
                <w:sz w:val="20"/>
                <w:szCs w:val="20"/>
              </w:rPr>
            </w:pPr>
            <w:r w:rsidRPr="003316D6">
              <w:rPr>
                <w:rFonts w:ascii="宋体" w:hAnsi="宋体" w:cs="宋体" w:hint="eastAsia"/>
                <w:sz w:val="20"/>
                <w:szCs w:val="20"/>
              </w:rPr>
              <w:t>建筑工程质量潜在缺陷保险率先在浦东新区实施</w:t>
            </w:r>
          </w:p>
        </w:tc>
        <w:tc>
          <w:tcPr>
            <w:tcW w:w="4819" w:type="dxa"/>
            <w:vAlign w:val="center"/>
          </w:tcPr>
          <w:p w:rsidR="000F5E2C" w:rsidRDefault="000F5E2C" w:rsidP="00FE36A1">
            <w:pPr>
              <w:widowControl/>
              <w:snapToGrid w:val="0"/>
              <w:rPr>
                <w:rFonts w:ascii="宋体" w:cs="Times New Roman"/>
                <w:sz w:val="20"/>
                <w:szCs w:val="20"/>
              </w:rPr>
            </w:pPr>
            <w:r w:rsidRPr="003316D6">
              <w:rPr>
                <w:rFonts w:ascii="宋体" w:hAnsi="宋体" w:cs="宋体"/>
                <w:sz w:val="20"/>
                <w:szCs w:val="20"/>
              </w:rPr>
              <w:t>2016</w:t>
            </w:r>
            <w:r w:rsidRPr="003316D6">
              <w:rPr>
                <w:rFonts w:ascii="宋体" w:hAnsi="宋体" w:cs="宋体" w:hint="eastAsia"/>
                <w:sz w:val="20"/>
                <w:szCs w:val="20"/>
              </w:rPr>
              <w:t>年</w:t>
            </w:r>
            <w:r w:rsidRPr="003316D6">
              <w:rPr>
                <w:rFonts w:ascii="宋体" w:hAnsi="宋体" w:cs="宋体"/>
                <w:sz w:val="20"/>
                <w:szCs w:val="20"/>
              </w:rPr>
              <w:t>6</w:t>
            </w:r>
            <w:r w:rsidRPr="003316D6">
              <w:rPr>
                <w:rFonts w:ascii="宋体" w:hAnsi="宋体" w:cs="宋体" w:hint="eastAsia"/>
                <w:sz w:val="20"/>
                <w:szCs w:val="20"/>
              </w:rPr>
              <w:t>月，上海市在全国率先推出住宅建设工程质量潜在缺陷保险，并在浦东新区商品住宅工程和全市保障性住宅工程中强制实施，探索了保险机制全面融入工程质量风险管理体系的新模式。</w:t>
            </w:r>
          </w:p>
          <w:p w:rsidR="000F5E2C" w:rsidRPr="003316D6" w:rsidRDefault="000F5E2C" w:rsidP="00FE36A1">
            <w:pPr>
              <w:widowControl/>
              <w:snapToGrid w:val="0"/>
              <w:rPr>
                <w:rFonts w:ascii="宋体" w:cs="Times New Roman"/>
                <w:sz w:val="20"/>
                <w:szCs w:val="20"/>
              </w:rPr>
            </w:pPr>
          </w:p>
          <w:p w:rsidR="000F5E2C" w:rsidRPr="003316D6" w:rsidRDefault="000F5E2C" w:rsidP="00FE36A1">
            <w:pPr>
              <w:widowControl/>
              <w:snapToGrid w:val="0"/>
              <w:rPr>
                <w:rFonts w:ascii="宋体" w:cs="Times New Roman"/>
                <w:sz w:val="20"/>
                <w:szCs w:val="20"/>
              </w:rPr>
            </w:pPr>
          </w:p>
          <w:p w:rsidR="000F5E2C" w:rsidRPr="003316D6" w:rsidRDefault="000F5E2C" w:rsidP="00FE36A1">
            <w:pPr>
              <w:widowControl/>
              <w:snapToGrid w:val="0"/>
              <w:rPr>
                <w:rFonts w:ascii="宋体" w:cs="Times New Roman"/>
                <w:sz w:val="20"/>
                <w:szCs w:val="20"/>
              </w:rPr>
            </w:pPr>
          </w:p>
          <w:p w:rsidR="000F5E2C" w:rsidRPr="003316D6" w:rsidRDefault="000F5E2C" w:rsidP="00FE36A1">
            <w:pPr>
              <w:widowControl/>
              <w:snapToGrid w:val="0"/>
              <w:rPr>
                <w:rFonts w:ascii="宋体" w:cs="Times New Roman"/>
                <w:sz w:val="20"/>
                <w:szCs w:val="20"/>
              </w:rPr>
            </w:pPr>
          </w:p>
          <w:p w:rsidR="000F5E2C" w:rsidRPr="003316D6" w:rsidRDefault="000F5E2C" w:rsidP="00FE36A1">
            <w:pPr>
              <w:widowControl/>
              <w:snapToGrid w:val="0"/>
              <w:rPr>
                <w:rFonts w:ascii="宋体" w:cs="Times New Roman"/>
                <w:sz w:val="20"/>
                <w:szCs w:val="20"/>
              </w:rPr>
            </w:pPr>
          </w:p>
        </w:tc>
        <w:tc>
          <w:tcPr>
            <w:tcW w:w="4820" w:type="dxa"/>
            <w:vAlign w:val="center"/>
          </w:tcPr>
          <w:p w:rsidR="000F5E2C" w:rsidRPr="003316D6" w:rsidRDefault="000F5E2C" w:rsidP="00FA3F58">
            <w:pPr>
              <w:snapToGrid w:val="0"/>
              <w:rPr>
                <w:rFonts w:ascii="宋体" w:cs="Times New Roman"/>
                <w:sz w:val="20"/>
                <w:szCs w:val="20"/>
              </w:rPr>
            </w:pPr>
            <w:r w:rsidRPr="003316D6">
              <w:rPr>
                <w:rFonts w:ascii="宋体" w:hAnsi="宋体" w:cs="宋体" w:hint="eastAsia"/>
                <w:sz w:val="20"/>
                <w:szCs w:val="20"/>
              </w:rPr>
              <w:t>一是引入市场化独立第三方风险管理机构，提升建设工程全流程、闭环式质量风险管控的服务水平。</w:t>
            </w:r>
          </w:p>
          <w:p w:rsidR="000F5E2C" w:rsidRPr="003316D6" w:rsidRDefault="000F5E2C" w:rsidP="00FA3F58">
            <w:pPr>
              <w:snapToGrid w:val="0"/>
              <w:rPr>
                <w:rFonts w:ascii="宋体" w:cs="Times New Roman"/>
                <w:sz w:val="20"/>
                <w:szCs w:val="20"/>
              </w:rPr>
            </w:pPr>
            <w:r w:rsidRPr="003316D6">
              <w:rPr>
                <w:rFonts w:ascii="宋体" w:hAnsi="宋体" w:cs="宋体" w:hint="eastAsia"/>
                <w:sz w:val="20"/>
                <w:szCs w:val="20"/>
              </w:rPr>
              <w:t>二是引入保险公司服务全面替代政府部门的物业保修金管理职能，为住宅工程广大中小业主提供更便捷、更优质的维修服务。</w:t>
            </w:r>
          </w:p>
          <w:p w:rsidR="000F5E2C" w:rsidRDefault="000F5E2C" w:rsidP="00FE36A1">
            <w:pPr>
              <w:widowControl/>
              <w:snapToGrid w:val="0"/>
              <w:rPr>
                <w:rFonts w:ascii="宋体" w:cs="Times New Roman"/>
                <w:sz w:val="20"/>
                <w:szCs w:val="20"/>
              </w:rPr>
            </w:pPr>
            <w:r w:rsidRPr="003316D6">
              <w:rPr>
                <w:rFonts w:ascii="宋体" w:hAnsi="宋体" w:cs="宋体" w:hint="eastAsia"/>
                <w:sz w:val="20"/>
                <w:szCs w:val="20"/>
              </w:rPr>
              <w:t>三是引入商业保险全面替代物业保修金，为住宅工程提供更充足的工程质量保险保障。</w:t>
            </w:r>
          </w:p>
          <w:p w:rsidR="000F5E2C" w:rsidRPr="003316D6" w:rsidRDefault="000F5E2C" w:rsidP="00FE36A1">
            <w:pPr>
              <w:widowControl/>
              <w:snapToGrid w:val="0"/>
              <w:rPr>
                <w:rFonts w:ascii="宋体" w:cs="Times New Roman"/>
                <w:sz w:val="20"/>
                <w:szCs w:val="20"/>
              </w:rPr>
            </w:pPr>
          </w:p>
          <w:p w:rsidR="000F5E2C" w:rsidRPr="003316D6" w:rsidRDefault="000F5E2C" w:rsidP="00FE36A1">
            <w:pPr>
              <w:widowControl/>
              <w:snapToGrid w:val="0"/>
              <w:rPr>
                <w:rFonts w:ascii="宋体" w:cs="Times New Roman"/>
                <w:sz w:val="20"/>
                <w:szCs w:val="20"/>
              </w:rPr>
            </w:pPr>
          </w:p>
        </w:tc>
        <w:tc>
          <w:tcPr>
            <w:tcW w:w="3670" w:type="dxa"/>
            <w:vAlign w:val="center"/>
          </w:tcPr>
          <w:p w:rsidR="000F5E2C" w:rsidRPr="003316D6" w:rsidRDefault="000F5E2C" w:rsidP="00FA3F58">
            <w:pPr>
              <w:snapToGrid w:val="0"/>
              <w:rPr>
                <w:rFonts w:ascii="宋体" w:cs="Times New Roman"/>
                <w:sz w:val="20"/>
                <w:szCs w:val="20"/>
              </w:rPr>
            </w:pPr>
            <w:r w:rsidRPr="003316D6">
              <w:rPr>
                <w:rFonts w:ascii="宋体" w:hAnsi="宋体" w:cs="宋体" w:hint="eastAsia"/>
                <w:sz w:val="20"/>
                <w:szCs w:val="20"/>
              </w:rPr>
              <w:t>一是充分发挥保险的防灾减损和经济补偿功能。目前该项目已被国家住建部作为全国试点项目，预计每年将为上海</w:t>
            </w:r>
            <w:r w:rsidRPr="003316D6">
              <w:rPr>
                <w:rFonts w:ascii="宋体" w:hAnsi="宋体" w:cs="宋体"/>
                <w:sz w:val="20"/>
                <w:szCs w:val="20"/>
              </w:rPr>
              <w:t>500</w:t>
            </w:r>
            <w:r w:rsidRPr="003316D6">
              <w:rPr>
                <w:rFonts w:ascii="宋体" w:hAnsi="宋体" w:cs="宋体" w:hint="eastAsia"/>
                <w:sz w:val="20"/>
                <w:szCs w:val="20"/>
              </w:rPr>
              <w:t>万平方米以上新建住宅工程提供全面风险管理。</w:t>
            </w:r>
          </w:p>
          <w:p w:rsidR="000F5E2C" w:rsidRPr="003316D6" w:rsidRDefault="000F5E2C" w:rsidP="00FE36A1">
            <w:pPr>
              <w:snapToGrid w:val="0"/>
              <w:rPr>
                <w:rFonts w:ascii="宋体" w:cs="Times New Roman"/>
                <w:sz w:val="20"/>
                <w:szCs w:val="20"/>
              </w:rPr>
            </w:pPr>
            <w:r>
              <w:rPr>
                <w:rFonts w:ascii="宋体" w:hAnsi="宋体" w:cs="宋体" w:hint="eastAsia"/>
                <w:sz w:val="20"/>
                <w:szCs w:val="20"/>
              </w:rPr>
              <w:t>二是有利于</w:t>
            </w:r>
            <w:r w:rsidRPr="003316D6">
              <w:rPr>
                <w:rFonts w:ascii="宋体" w:hAnsi="宋体" w:cs="宋体" w:hint="eastAsia"/>
                <w:sz w:val="20"/>
                <w:szCs w:val="20"/>
              </w:rPr>
              <w:t>支持政府职能转变。政府职能部门无需再承担工程质量潜在缺陷的“买单人”和巨额物业保修金的“保管员”，回归工程质量监督的本位。</w:t>
            </w:r>
          </w:p>
        </w:tc>
      </w:tr>
    </w:tbl>
    <w:p w:rsidR="000F5E2C" w:rsidRPr="003316D6" w:rsidRDefault="000F5E2C" w:rsidP="002E5EB5">
      <w:pPr>
        <w:snapToGrid w:val="0"/>
        <w:rPr>
          <w:rFonts w:ascii="宋体" w:cs="Times New Roman"/>
          <w:sz w:val="20"/>
          <w:szCs w:val="20"/>
        </w:rPr>
      </w:pPr>
    </w:p>
    <w:sectPr w:rsidR="000F5E2C" w:rsidRPr="003316D6" w:rsidSect="00F54C32">
      <w:footerReference w:type="default" r:id="rId8"/>
      <w:pgSz w:w="16838" w:h="11906" w:orient="landscape"/>
      <w:pgMar w:top="1701" w:right="567" w:bottom="1701" w:left="45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2C" w:rsidRDefault="000F5E2C">
      <w:pPr>
        <w:rPr>
          <w:rFonts w:cs="Times New Roman"/>
        </w:rPr>
      </w:pPr>
      <w:r>
        <w:rPr>
          <w:rFonts w:cs="Times New Roman"/>
        </w:rPr>
        <w:separator/>
      </w:r>
    </w:p>
  </w:endnote>
  <w:endnote w:type="continuationSeparator" w:id="0">
    <w:p w:rsidR="000F5E2C" w:rsidRDefault="000F5E2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2C" w:rsidRDefault="000F5E2C" w:rsidP="00782402">
    <w:pPr>
      <w:pStyle w:val="Footer"/>
      <w:jc w:val="center"/>
      <w:rPr>
        <w:rFonts w:cs="Times New Roman"/>
      </w:rPr>
    </w:pPr>
    <w:fldSimple w:instr=" PAGE   \* MERGEFORMAT ">
      <w:r w:rsidRPr="00C21FE2">
        <w:rPr>
          <w:noProof/>
          <w:lang w:val="zh-CN"/>
        </w:rPr>
        <w:t>7</w:t>
      </w:r>
    </w:fldSimple>
  </w:p>
  <w:p w:rsidR="000F5E2C" w:rsidRDefault="000F5E2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2C" w:rsidRDefault="000F5E2C">
      <w:pPr>
        <w:rPr>
          <w:rFonts w:cs="Times New Roman"/>
        </w:rPr>
      </w:pPr>
      <w:r>
        <w:rPr>
          <w:rFonts w:cs="Times New Roman"/>
        </w:rPr>
        <w:separator/>
      </w:r>
    </w:p>
  </w:footnote>
  <w:footnote w:type="continuationSeparator" w:id="0">
    <w:p w:rsidR="000F5E2C" w:rsidRDefault="000F5E2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E2B"/>
    <w:rsid w:val="00007CE4"/>
    <w:rsid w:val="00020AD1"/>
    <w:rsid w:val="00024614"/>
    <w:rsid w:val="00026FE8"/>
    <w:rsid w:val="00033D7D"/>
    <w:rsid w:val="00034D93"/>
    <w:rsid w:val="00043AE2"/>
    <w:rsid w:val="00046D79"/>
    <w:rsid w:val="00060CC1"/>
    <w:rsid w:val="000647BC"/>
    <w:rsid w:val="00066295"/>
    <w:rsid w:val="0007431C"/>
    <w:rsid w:val="00081DC8"/>
    <w:rsid w:val="00083BF8"/>
    <w:rsid w:val="00087393"/>
    <w:rsid w:val="00094F48"/>
    <w:rsid w:val="00095754"/>
    <w:rsid w:val="00095757"/>
    <w:rsid w:val="0009702B"/>
    <w:rsid w:val="000A12FA"/>
    <w:rsid w:val="000A5D68"/>
    <w:rsid w:val="000A6F04"/>
    <w:rsid w:val="000A7194"/>
    <w:rsid w:val="000B49FC"/>
    <w:rsid w:val="000B6358"/>
    <w:rsid w:val="000C1E4F"/>
    <w:rsid w:val="000C35B5"/>
    <w:rsid w:val="000C3D33"/>
    <w:rsid w:val="000C5292"/>
    <w:rsid w:val="000C799C"/>
    <w:rsid w:val="000D16D4"/>
    <w:rsid w:val="000D48C6"/>
    <w:rsid w:val="000E410C"/>
    <w:rsid w:val="000E7F7D"/>
    <w:rsid w:val="000F291B"/>
    <w:rsid w:val="000F2D1E"/>
    <w:rsid w:val="000F4A0F"/>
    <w:rsid w:val="000F5E2C"/>
    <w:rsid w:val="00105112"/>
    <w:rsid w:val="00106E2B"/>
    <w:rsid w:val="00134BBF"/>
    <w:rsid w:val="001452EB"/>
    <w:rsid w:val="001470D2"/>
    <w:rsid w:val="00156057"/>
    <w:rsid w:val="00166A0C"/>
    <w:rsid w:val="001678AD"/>
    <w:rsid w:val="00174033"/>
    <w:rsid w:val="001778E9"/>
    <w:rsid w:val="00181B4A"/>
    <w:rsid w:val="00191727"/>
    <w:rsid w:val="00197377"/>
    <w:rsid w:val="001A0853"/>
    <w:rsid w:val="001A2BDC"/>
    <w:rsid w:val="001A524F"/>
    <w:rsid w:val="001A6408"/>
    <w:rsid w:val="001B2552"/>
    <w:rsid w:val="001C13E2"/>
    <w:rsid w:val="001C2087"/>
    <w:rsid w:val="001C3CCC"/>
    <w:rsid w:val="001C6621"/>
    <w:rsid w:val="001C6D0E"/>
    <w:rsid w:val="001E475F"/>
    <w:rsid w:val="001E648F"/>
    <w:rsid w:val="001F4378"/>
    <w:rsid w:val="001F5510"/>
    <w:rsid w:val="00203B7C"/>
    <w:rsid w:val="00203B8E"/>
    <w:rsid w:val="00205935"/>
    <w:rsid w:val="00213A6C"/>
    <w:rsid w:val="00215814"/>
    <w:rsid w:val="00220AE9"/>
    <w:rsid w:val="002305A9"/>
    <w:rsid w:val="002352B6"/>
    <w:rsid w:val="00241F33"/>
    <w:rsid w:val="002547E1"/>
    <w:rsid w:val="002548B6"/>
    <w:rsid w:val="00257909"/>
    <w:rsid w:val="002651EA"/>
    <w:rsid w:val="00267ECC"/>
    <w:rsid w:val="00270E77"/>
    <w:rsid w:val="00280436"/>
    <w:rsid w:val="00281BAD"/>
    <w:rsid w:val="0028205B"/>
    <w:rsid w:val="002932B2"/>
    <w:rsid w:val="00296585"/>
    <w:rsid w:val="002B371E"/>
    <w:rsid w:val="002B696D"/>
    <w:rsid w:val="002B7492"/>
    <w:rsid w:val="002C1929"/>
    <w:rsid w:val="002D206F"/>
    <w:rsid w:val="002D452B"/>
    <w:rsid w:val="002E32B3"/>
    <w:rsid w:val="002E5EB5"/>
    <w:rsid w:val="002E7371"/>
    <w:rsid w:val="002F6D95"/>
    <w:rsid w:val="003066A9"/>
    <w:rsid w:val="00312976"/>
    <w:rsid w:val="00314CA5"/>
    <w:rsid w:val="00320675"/>
    <w:rsid w:val="003237CC"/>
    <w:rsid w:val="003316D6"/>
    <w:rsid w:val="0034077B"/>
    <w:rsid w:val="00341207"/>
    <w:rsid w:val="00343800"/>
    <w:rsid w:val="0034603A"/>
    <w:rsid w:val="003514DD"/>
    <w:rsid w:val="00355351"/>
    <w:rsid w:val="003558BC"/>
    <w:rsid w:val="00356EDD"/>
    <w:rsid w:val="003607C2"/>
    <w:rsid w:val="00363EFD"/>
    <w:rsid w:val="00372A1D"/>
    <w:rsid w:val="003759FB"/>
    <w:rsid w:val="00377089"/>
    <w:rsid w:val="003839E9"/>
    <w:rsid w:val="003844F9"/>
    <w:rsid w:val="003936D3"/>
    <w:rsid w:val="003A0A87"/>
    <w:rsid w:val="003A4535"/>
    <w:rsid w:val="003A48BC"/>
    <w:rsid w:val="003A5ED0"/>
    <w:rsid w:val="003B2DA6"/>
    <w:rsid w:val="003B48CC"/>
    <w:rsid w:val="003B4980"/>
    <w:rsid w:val="003B4A96"/>
    <w:rsid w:val="003C1DB3"/>
    <w:rsid w:val="003C60BE"/>
    <w:rsid w:val="003E5E58"/>
    <w:rsid w:val="003F47A8"/>
    <w:rsid w:val="003F606D"/>
    <w:rsid w:val="004064EC"/>
    <w:rsid w:val="00417B60"/>
    <w:rsid w:val="004320B5"/>
    <w:rsid w:val="0043261E"/>
    <w:rsid w:val="0044011D"/>
    <w:rsid w:val="00441845"/>
    <w:rsid w:val="004504C1"/>
    <w:rsid w:val="00452751"/>
    <w:rsid w:val="004579DF"/>
    <w:rsid w:val="004608AA"/>
    <w:rsid w:val="00465460"/>
    <w:rsid w:val="00470C78"/>
    <w:rsid w:val="00476107"/>
    <w:rsid w:val="0048111A"/>
    <w:rsid w:val="004835DB"/>
    <w:rsid w:val="00491579"/>
    <w:rsid w:val="004A11C9"/>
    <w:rsid w:val="004B1394"/>
    <w:rsid w:val="004B563B"/>
    <w:rsid w:val="004B6501"/>
    <w:rsid w:val="004D792B"/>
    <w:rsid w:val="004D7E10"/>
    <w:rsid w:val="004E128C"/>
    <w:rsid w:val="004E3369"/>
    <w:rsid w:val="004E4649"/>
    <w:rsid w:val="004E57CD"/>
    <w:rsid w:val="004E6467"/>
    <w:rsid w:val="004F4F3D"/>
    <w:rsid w:val="004F55BD"/>
    <w:rsid w:val="005004EC"/>
    <w:rsid w:val="00500B55"/>
    <w:rsid w:val="005052C5"/>
    <w:rsid w:val="005078C6"/>
    <w:rsid w:val="00512E28"/>
    <w:rsid w:val="0051535A"/>
    <w:rsid w:val="00521276"/>
    <w:rsid w:val="00524F3C"/>
    <w:rsid w:val="00525254"/>
    <w:rsid w:val="00534692"/>
    <w:rsid w:val="00537D14"/>
    <w:rsid w:val="00546214"/>
    <w:rsid w:val="00547934"/>
    <w:rsid w:val="0055344B"/>
    <w:rsid w:val="00563CAF"/>
    <w:rsid w:val="00564740"/>
    <w:rsid w:val="00566D63"/>
    <w:rsid w:val="00571742"/>
    <w:rsid w:val="00572517"/>
    <w:rsid w:val="00572DE2"/>
    <w:rsid w:val="00574AC6"/>
    <w:rsid w:val="00580A92"/>
    <w:rsid w:val="005874DF"/>
    <w:rsid w:val="005900BA"/>
    <w:rsid w:val="00590FAF"/>
    <w:rsid w:val="00597D2D"/>
    <w:rsid w:val="005A0D08"/>
    <w:rsid w:val="005A1E53"/>
    <w:rsid w:val="005A7EC4"/>
    <w:rsid w:val="005B23CB"/>
    <w:rsid w:val="005B33E1"/>
    <w:rsid w:val="005D2535"/>
    <w:rsid w:val="005D3F23"/>
    <w:rsid w:val="005E1C59"/>
    <w:rsid w:val="005E2CF5"/>
    <w:rsid w:val="005E6808"/>
    <w:rsid w:val="005F2215"/>
    <w:rsid w:val="00600C39"/>
    <w:rsid w:val="00602357"/>
    <w:rsid w:val="00606E92"/>
    <w:rsid w:val="00610B11"/>
    <w:rsid w:val="00611FF2"/>
    <w:rsid w:val="00614954"/>
    <w:rsid w:val="00614AD2"/>
    <w:rsid w:val="0061512E"/>
    <w:rsid w:val="00616021"/>
    <w:rsid w:val="00617578"/>
    <w:rsid w:val="0062236B"/>
    <w:rsid w:val="00624B7F"/>
    <w:rsid w:val="006264E7"/>
    <w:rsid w:val="00631343"/>
    <w:rsid w:val="0063269B"/>
    <w:rsid w:val="00635915"/>
    <w:rsid w:val="00640F0C"/>
    <w:rsid w:val="00646C56"/>
    <w:rsid w:val="0065191D"/>
    <w:rsid w:val="006602E1"/>
    <w:rsid w:val="006603BD"/>
    <w:rsid w:val="00677170"/>
    <w:rsid w:val="0068371D"/>
    <w:rsid w:val="006876A4"/>
    <w:rsid w:val="00687DAB"/>
    <w:rsid w:val="006941EB"/>
    <w:rsid w:val="006961A0"/>
    <w:rsid w:val="006A175D"/>
    <w:rsid w:val="006B1EAB"/>
    <w:rsid w:val="006B65B5"/>
    <w:rsid w:val="006B7BE5"/>
    <w:rsid w:val="006C46D4"/>
    <w:rsid w:val="006C526F"/>
    <w:rsid w:val="006C65B1"/>
    <w:rsid w:val="006D057A"/>
    <w:rsid w:val="006D5C6D"/>
    <w:rsid w:val="006D7B77"/>
    <w:rsid w:val="006E222B"/>
    <w:rsid w:val="006E23F8"/>
    <w:rsid w:val="006E3AEC"/>
    <w:rsid w:val="006F0B91"/>
    <w:rsid w:val="007000FE"/>
    <w:rsid w:val="007050EB"/>
    <w:rsid w:val="00710160"/>
    <w:rsid w:val="0071046F"/>
    <w:rsid w:val="007109CE"/>
    <w:rsid w:val="00710F75"/>
    <w:rsid w:val="00713CE2"/>
    <w:rsid w:val="0071735A"/>
    <w:rsid w:val="0072096C"/>
    <w:rsid w:val="00726ED6"/>
    <w:rsid w:val="00731085"/>
    <w:rsid w:val="00731BE7"/>
    <w:rsid w:val="00735885"/>
    <w:rsid w:val="00736C37"/>
    <w:rsid w:val="0074032B"/>
    <w:rsid w:val="00742AEC"/>
    <w:rsid w:val="00746467"/>
    <w:rsid w:val="0075007F"/>
    <w:rsid w:val="0075095A"/>
    <w:rsid w:val="00757D5B"/>
    <w:rsid w:val="00760B2A"/>
    <w:rsid w:val="0076311C"/>
    <w:rsid w:val="007679BB"/>
    <w:rsid w:val="00781DD9"/>
    <w:rsid w:val="00782402"/>
    <w:rsid w:val="007857A1"/>
    <w:rsid w:val="0078677E"/>
    <w:rsid w:val="0079037A"/>
    <w:rsid w:val="00790CC5"/>
    <w:rsid w:val="0079421E"/>
    <w:rsid w:val="007952A0"/>
    <w:rsid w:val="00795E14"/>
    <w:rsid w:val="007A2D82"/>
    <w:rsid w:val="007A2FDF"/>
    <w:rsid w:val="007C52B3"/>
    <w:rsid w:val="007D0635"/>
    <w:rsid w:val="007D2914"/>
    <w:rsid w:val="007D6F83"/>
    <w:rsid w:val="007E4722"/>
    <w:rsid w:val="0080283E"/>
    <w:rsid w:val="00802D5A"/>
    <w:rsid w:val="00805323"/>
    <w:rsid w:val="008064E8"/>
    <w:rsid w:val="00816A7E"/>
    <w:rsid w:val="008172A3"/>
    <w:rsid w:val="00825390"/>
    <w:rsid w:val="0083324C"/>
    <w:rsid w:val="00845695"/>
    <w:rsid w:val="00850357"/>
    <w:rsid w:val="00852ECB"/>
    <w:rsid w:val="00853DAF"/>
    <w:rsid w:val="008552CE"/>
    <w:rsid w:val="00856A08"/>
    <w:rsid w:val="00860512"/>
    <w:rsid w:val="00863682"/>
    <w:rsid w:val="008723CD"/>
    <w:rsid w:val="00876D3D"/>
    <w:rsid w:val="0088153A"/>
    <w:rsid w:val="008825E3"/>
    <w:rsid w:val="00883CDD"/>
    <w:rsid w:val="00884916"/>
    <w:rsid w:val="00890010"/>
    <w:rsid w:val="00895711"/>
    <w:rsid w:val="008B1437"/>
    <w:rsid w:val="008B2A34"/>
    <w:rsid w:val="008D329E"/>
    <w:rsid w:val="008D5101"/>
    <w:rsid w:val="008E177F"/>
    <w:rsid w:val="008E5030"/>
    <w:rsid w:val="008E5718"/>
    <w:rsid w:val="008E57AB"/>
    <w:rsid w:val="008E59AB"/>
    <w:rsid w:val="008E627C"/>
    <w:rsid w:val="008F2823"/>
    <w:rsid w:val="008F5815"/>
    <w:rsid w:val="008F7E46"/>
    <w:rsid w:val="00904F1C"/>
    <w:rsid w:val="009065A4"/>
    <w:rsid w:val="00906FA0"/>
    <w:rsid w:val="009102F8"/>
    <w:rsid w:val="00912E2E"/>
    <w:rsid w:val="0092770E"/>
    <w:rsid w:val="0093632E"/>
    <w:rsid w:val="00945123"/>
    <w:rsid w:val="00951D1D"/>
    <w:rsid w:val="009640AB"/>
    <w:rsid w:val="0096585E"/>
    <w:rsid w:val="009668CB"/>
    <w:rsid w:val="00971263"/>
    <w:rsid w:val="00973B46"/>
    <w:rsid w:val="009817EA"/>
    <w:rsid w:val="00992647"/>
    <w:rsid w:val="00992F99"/>
    <w:rsid w:val="009A12E2"/>
    <w:rsid w:val="009A23AB"/>
    <w:rsid w:val="009A4DA1"/>
    <w:rsid w:val="009C5AB4"/>
    <w:rsid w:val="009D1A6B"/>
    <w:rsid w:val="009D53B8"/>
    <w:rsid w:val="009E0638"/>
    <w:rsid w:val="009E368E"/>
    <w:rsid w:val="009E3FC0"/>
    <w:rsid w:val="009E73A9"/>
    <w:rsid w:val="009E7C1B"/>
    <w:rsid w:val="009F5A7F"/>
    <w:rsid w:val="00A0051B"/>
    <w:rsid w:val="00A23AA9"/>
    <w:rsid w:val="00A32097"/>
    <w:rsid w:val="00A32418"/>
    <w:rsid w:val="00A334E0"/>
    <w:rsid w:val="00A348E2"/>
    <w:rsid w:val="00A36767"/>
    <w:rsid w:val="00A401A6"/>
    <w:rsid w:val="00A42364"/>
    <w:rsid w:val="00A51459"/>
    <w:rsid w:val="00A54EC3"/>
    <w:rsid w:val="00A55835"/>
    <w:rsid w:val="00A559B5"/>
    <w:rsid w:val="00A63EB0"/>
    <w:rsid w:val="00A7601C"/>
    <w:rsid w:val="00A86497"/>
    <w:rsid w:val="00A93B34"/>
    <w:rsid w:val="00A95647"/>
    <w:rsid w:val="00A9697B"/>
    <w:rsid w:val="00A97BF7"/>
    <w:rsid w:val="00AA1F1A"/>
    <w:rsid w:val="00AA3AD4"/>
    <w:rsid w:val="00AA3B67"/>
    <w:rsid w:val="00AA3D5B"/>
    <w:rsid w:val="00AB0C27"/>
    <w:rsid w:val="00AB1D1A"/>
    <w:rsid w:val="00AB3644"/>
    <w:rsid w:val="00AB3A2F"/>
    <w:rsid w:val="00AC666A"/>
    <w:rsid w:val="00AC75F4"/>
    <w:rsid w:val="00AD0453"/>
    <w:rsid w:val="00AD632D"/>
    <w:rsid w:val="00AD7441"/>
    <w:rsid w:val="00AE169C"/>
    <w:rsid w:val="00AE3E83"/>
    <w:rsid w:val="00AF0FEB"/>
    <w:rsid w:val="00AF4967"/>
    <w:rsid w:val="00AF52C8"/>
    <w:rsid w:val="00AF5763"/>
    <w:rsid w:val="00AF6244"/>
    <w:rsid w:val="00B02099"/>
    <w:rsid w:val="00B05958"/>
    <w:rsid w:val="00B13E03"/>
    <w:rsid w:val="00B14E35"/>
    <w:rsid w:val="00B17421"/>
    <w:rsid w:val="00B21339"/>
    <w:rsid w:val="00B225C2"/>
    <w:rsid w:val="00B30D58"/>
    <w:rsid w:val="00B3163D"/>
    <w:rsid w:val="00B42385"/>
    <w:rsid w:val="00B43D30"/>
    <w:rsid w:val="00B45C77"/>
    <w:rsid w:val="00B4640B"/>
    <w:rsid w:val="00B516F9"/>
    <w:rsid w:val="00B53C32"/>
    <w:rsid w:val="00B646A2"/>
    <w:rsid w:val="00B70F60"/>
    <w:rsid w:val="00B73194"/>
    <w:rsid w:val="00B76D13"/>
    <w:rsid w:val="00B87678"/>
    <w:rsid w:val="00B94642"/>
    <w:rsid w:val="00B95775"/>
    <w:rsid w:val="00BA2D61"/>
    <w:rsid w:val="00BA4447"/>
    <w:rsid w:val="00BC5E4B"/>
    <w:rsid w:val="00BC61AF"/>
    <w:rsid w:val="00BC7D31"/>
    <w:rsid w:val="00BE21A5"/>
    <w:rsid w:val="00BE6061"/>
    <w:rsid w:val="00BE7B4C"/>
    <w:rsid w:val="00BF13A2"/>
    <w:rsid w:val="00BF4515"/>
    <w:rsid w:val="00BF5C10"/>
    <w:rsid w:val="00BF6FCD"/>
    <w:rsid w:val="00C05CC0"/>
    <w:rsid w:val="00C10DA2"/>
    <w:rsid w:val="00C12447"/>
    <w:rsid w:val="00C201FF"/>
    <w:rsid w:val="00C21FE2"/>
    <w:rsid w:val="00C24FD1"/>
    <w:rsid w:val="00C26DB6"/>
    <w:rsid w:val="00C30B00"/>
    <w:rsid w:val="00C32F76"/>
    <w:rsid w:val="00C37854"/>
    <w:rsid w:val="00C41A2E"/>
    <w:rsid w:val="00C4502F"/>
    <w:rsid w:val="00C45F1C"/>
    <w:rsid w:val="00C47080"/>
    <w:rsid w:val="00C54C88"/>
    <w:rsid w:val="00C56197"/>
    <w:rsid w:val="00C56A43"/>
    <w:rsid w:val="00C575BA"/>
    <w:rsid w:val="00C604D0"/>
    <w:rsid w:val="00C61959"/>
    <w:rsid w:val="00C62B44"/>
    <w:rsid w:val="00C67317"/>
    <w:rsid w:val="00C71BED"/>
    <w:rsid w:val="00C8086B"/>
    <w:rsid w:val="00C9190D"/>
    <w:rsid w:val="00C951E6"/>
    <w:rsid w:val="00CA0E85"/>
    <w:rsid w:val="00CA6F0B"/>
    <w:rsid w:val="00CB30B5"/>
    <w:rsid w:val="00CB328F"/>
    <w:rsid w:val="00CE0606"/>
    <w:rsid w:val="00CE1381"/>
    <w:rsid w:val="00CE3317"/>
    <w:rsid w:val="00CE33F6"/>
    <w:rsid w:val="00CE77A3"/>
    <w:rsid w:val="00CF1539"/>
    <w:rsid w:val="00CF1809"/>
    <w:rsid w:val="00CF22B5"/>
    <w:rsid w:val="00CF2FCB"/>
    <w:rsid w:val="00CF3C53"/>
    <w:rsid w:val="00D0395F"/>
    <w:rsid w:val="00D070D2"/>
    <w:rsid w:val="00D0759D"/>
    <w:rsid w:val="00D112F2"/>
    <w:rsid w:val="00D11342"/>
    <w:rsid w:val="00D1621B"/>
    <w:rsid w:val="00D34F60"/>
    <w:rsid w:val="00D36487"/>
    <w:rsid w:val="00D40706"/>
    <w:rsid w:val="00D40AED"/>
    <w:rsid w:val="00D47AA7"/>
    <w:rsid w:val="00D53B7F"/>
    <w:rsid w:val="00D548E7"/>
    <w:rsid w:val="00D619E1"/>
    <w:rsid w:val="00D63600"/>
    <w:rsid w:val="00D63B99"/>
    <w:rsid w:val="00D670E6"/>
    <w:rsid w:val="00D76531"/>
    <w:rsid w:val="00D76FA9"/>
    <w:rsid w:val="00D7746A"/>
    <w:rsid w:val="00D8108F"/>
    <w:rsid w:val="00D812E2"/>
    <w:rsid w:val="00D865EC"/>
    <w:rsid w:val="00D929AC"/>
    <w:rsid w:val="00D933A0"/>
    <w:rsid w:val="00D942F5"/>
    <w:rsid w:val="00DA3EB4"/>
    <w:rsid w:val="00DB2036"/>
    <w:rsid w:val="00DB58DF"/>
    <w:rsid w:val="00DB6123"/>
    <w:rsid w:val="00DB7366"/>
    <w:rsid w:val="00DB75D9"/>
    <w:rsid w:val="00DC0F88"/>
    <w:rsid w:val="00DC2E85"/>
    <w:rsid w:val="00DC4366"/>
    <w:rsid w:val="00DC4E3F"/>
    <w:rsid w:val="00DC5EB8"/>
    <w:rsid w:val="00DD47BD"/>
    <w:rsid w:val="00DD49F8"/>
    <w:rsid w:val="00DE0447"/>
    <w:rsid w:val="00DE0E0D"/>
    <w:rsid w:val="00DE3CDF"/>
    <w:rsid w:val="00DF121A"/>
    <w:rsid w:val="00DF28B2"/>
    <w:rsid w:val="00DF530E"/>
    <w:rsid w:val="00E05080"/>
    <w:rsid w:val="00E12854"/>
    <w:rsid w:val="00E1696E"/>
    <w:rsid w:val="00E169DC"/>
    <w:rsid w:val="00E16BE8"/>
    <w:rsid w:val="00E31C4E"/>
    <w:rsid w:val="00E347CE"/>
    <w:rsid w:val="00E40995"/>
    <w:rsid w:val="00E440D1"/>
    <w:rsid w:val="00E4632A"/>
    <w:rsid w:val="00E46CBF"/>
    <w:rsid w:val="00E5024F"/>
    <w:rsid w:val="00E52855"/>
    <w:rsid w:val="00E54E0D"/>
    <w:rsid w:val="00E60141"/>
    <w:rsid w:val="00E72F51"/>
    <w:rsid w:val="00E73613"/>
    <w:rsid w:val="00E7732C"/>
    <w:rsid w:val="00E80196"/>
    <w:rsid w:val="00EA6455"/>
    <w:rsid w:val="00EB001A"/>
    <w:rsid w:val="00EB52AA"/>
    <w:rsid w:val="00EB6000"/>
    <w:rsid w:val="00EC06FF"/>
    <w:rsid w:val="00EC1721"/>
    <w:rsid w:val="00EC548C"/>
    <w:rsid w:val="00EC7FC6"/>
    <w:rsid w:val="00ED11C7"/>
    <w:rsid w:val="00EE31B8"/>
    <w:rsid w:val="00EE5997"/>
    <w:rsid w:val="00EF25D3"/>
    <w:rsid w:val="00EF6816"/>
    <w:rsid w:val="00EF7B9B"/>
    <w:rsid w:val="00F012E1"/>
    <w:rsid w:val="00F0182F"/>
    <w:rsid w:val="00F06E08"/>
    <w:rsid w:val="00F1295A"/>
    <w:rsid w:val="00F12DB3"/>
    <w:rsid w:val="00F137E0"/>
    <w:rsid w:val="00F216E9"/>
    <w:rsid w:val="00F220C6"/>
    <w:rsid w:val="00F272C9"/>
    <w:rsid w:val="00F31868"/>
    <w:rsid w:val="00F35FEF"/>
    <w:rsid w:val="00F43B69"/>
    <w:rsid w:val="00F43D1A"/>
    <w:rsid w:val="00F5043C"/>
    <w:rsid w:val="00F50DDB"/>
    <w:rsid w:val="00F51D3F"/>
    <w:rsid w:val="00F54C32"/>
    <w:rsid w:val="00F55E66"/>
    <w:rsid w:val="00F62317"/>
    <w:rsid w:val="00F64D2C"/>
    <w:rsid w:val="00F66FE5"/>
    <w:rsid w:val="00F7246C"/>
    <w:rsid w:val="00F73D90"/>
    <w:rsid w:val="00F8583F"/>
    <w:rsid w:val="00F85BA2"/>
    <w:rsid w:val="00F918E0"/>
    <w:rsid w:val="00F93890"/>
    <w:rsid w:val="00FA3F58"/>
    <w:rsid w:val="00FA55E6"/>
    <w:rsid w:val="00FA6769"/>
    <w:rsid w:val="00FA6B23"/>
    <w:rsid w:val="00FB0E6A"/>
    <w:rsid w:val="00FB3267"/>
    <w:rsid w:val="00FB37DB"/>
    <w:rsid w:val="00FB38D6"/>
    <w:rsid w:val="00FB545E"/>
    <w:rsid w:val="00FC49EA"/>
    <w:rsid w:val="00FC559E"/>
    <w:rsid w:val="00FC6C81"/>
    <w:rsid w:val="00FD010A"/>
    <w:rsid w:val="00FD44B5"/>
    <w:rsid w:val="00FD7C0A"/>
    <w:rsid w:val="00FE36A1"/>
    <w:rsid w:val="00FE6139"/>
    <w:rsid w:val="00FF7C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2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6E2B"/>
    <w:pPr>
      <w:widowControl w:val="0"/>
      <w:jc w:val="both"/>
    </w:pPr>
    <w:rPr>
      <w:rFonts w:cs="Calibri"/>
      <w:szCs w:val="21"/>
    </w:rPr>
  </w:style>
  <w:style w:type="paragraph" w:styleId="Footer">
    <w:name w:val="footer"/>
    <w:basedOn w:val="Normal"/>
    <w:link w:val="FooterChar"/>
    <w:uiPriority w:val="99"/>
    <w:rsid w:val="00106E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6E2B"/>
    <w:rPr>
      <w:rFonts w:ascii="Calibri" w:eastAsia="宋体" w:hAnsi="Calibri" w:cs="Calibri"/>
      <w:sz w:val="18"/>
      <w:szCs w:val="18"/>
    </w:rPr>
  </w:style>
  <w:style w:type="paragraph" w:styleId="Header">
    <w:name w:val="header"/>
    <w:basedOn w:val="Normal"/>
    <w:link w:val="HeaderChar"/>
    <w:uiPriority w:val="99"/>
    <w:rsid w:val="00094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94F48"/>
    <w:rPr>
      <w:rFonts w:ascii="Calibri" w:eastAsia="宋体" w:hAnsi="Calibri" w:cs="Calibri"/>
      <w:sz w:val="18"/>
      <w:szCs w:val="18"/>
    </w:rPr>
  </w:style>
  <w:style w:type="paragraph" w:styleId="BalloonText">
    <w:name w:val="Balloon Text"/>
    <w:basedOn w:val="Normal"/>
    <w:link w:val="BalloonTextChar"/>
    <w:uiPriority w:val="99"/>
    <w:semiHidden/>
    <w:rsid w:val="00094F48"/>
    <w:rPr>
      <w:sz w:val="18"/>
      <w:szCs w:val="18"/>
    </w:rPr>
  </w:style>
  <w:style w:type="character" w:customStyle="1" w:styleId="BalloonTextChar">
    <w:name w:val="Balloon Text Char"/>
    <w:basedOn w:val="DefaultParagraphFont"/>
    <w:link w:val="BalloonText"/>
    <w:uiPriority w:val="99"/>
    <w:semiHidden/>
    <w:locked/>
    <w:rsid w:val="00094F48"/>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201314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c.cn/aboutboc/bi1/201609/t20160923_772854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ckdata.stock.hexun.com/601988.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7</Pages>
  <Words>1344</Words>
  <Characters>7664</Characters>
  <Application>Microsoft Office Outlook</Application>
  <DocSecurity>0</DocSecurity>
  <Lines>0</Lines>
  <Paragraphs>0</Paragraphs>
  <ScaleCrop>false</ScaleCrop>
  <Company>datathink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顾晓杰</cp:lastModifiedBy>
  <cp:revision>21</cp:revision>
  <cp:lastPrinted>2017-01-09T07:49:00Z</cp:lastPrinted>
  <dcterms:created xsi:type="dcterms:W3CDTF">2017-01-09T06:41:00Z</dcterms:created>
  <dcterms:modified xsi:type="dcterms:W3CDTF">2017-01-11T09:14:00Z</dcterms:modified>
</cp:coreProperties>
</file>