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45" w:rsidRDefault="00CC5F63">
      <w:pPr>
        <w:spacing w:line="6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3</w:t>
      </w:r>
    </w:p>
    <w:p w:rsidR="00BF0345" w:rsidRDefault="00BF0345">
      <w:pPr>
        <w:spacing w:line="640" w:lineRule="exact"/>
        <w:rPr>
          <w:rFonts w:ascii="黑体" w:eastAsia="黑体" w:hAnsi="黑体" w:cs="黑体"/>
          <w:sz w:val="32"/>
          <w:szCs w:val="32"/>
        </w:rPr>
      </w:pPr>
    </w:p>
    <w:p w:rsidR="00BF0345" w:rsidRDefault="00CC5F63">
      <w:pPr>
        <w:spacing w:line="640" w:lineRule="exact"/>
        <w:jc w:val="center"/>
        <w:rPr>
          <w:rFonts w:ascii="黑体" w:eastAsia="黑体" w:hAnsi="黑体"/>
          <w:sz w:val="32"/>
          <w:szCs w:val="32"/>
        </w:rPr>
      </w:pPr>
      <w:bookmarkStart w:id="0" w:name="_GoBack"/>
      <w:r>
        <w:rPr>
          <w:rFonts w:ascii="方正小标宋_GBK" w:eastAsia="方正小标宋_GBK" w:hAnsi="方正小标宋_GBK" w:cs="方正小标宋_GBK" w:hint="eastAsia"/>
          <w:sz w:val="44"/>
          <w:szCs w:val="44"/>
        </w:rPr>
        <w:t>处置计划建议示例</w:t>
      </w:r>
      <w:bookmarkEnd w:id="0"/>
    </w:p>
    <w:p w:rsidR="00BF0345" w:rsidRDefault="00CC5F63">
      <w:pPr>
        <w:spacing w:line="640" w:lineRule="exact"/>
        <w:jc w:val="center"/>
        <w:rPr>
          <w:rFonts w:ascii="仿宋_GB2312" w:eastAsia="仿宋_GB2312" w:hAnsi="仿宋"/>
          <w:sz w:val="32"/>
          <w:szCs w:val="32"/>
        </w:rPr>
      </w:pPr>
      <w:r>
        <w:rPr>
          <w:rFonts w:ascii="仿宋_GB2312" w:eastAsia="仿宋_GB2312" w:hAnsi="仿宋" w:cs="仿宋_GB2312" w:hint="eastAsia"/>
          <w:sz w:val="32"/>
          <w:szCs w:val="32"/>
        </w:rPr>
        <w:t>（商业银行版）</w:t>
      </w:r>
    </w:p>
    <w:p w:rsidR="00BF0345" w:rsidRDefault="00BF0345">
      <w:pPr>
        <w:spacing w:line="640" w:lineRule="exact"/>
        <w:rPr>
          <w:rFonts w:ascii="仿宋_GB2312" w:eastAsia="仿宋_GB2312" w:hAnsi="仿宋"/>
          <w:sz w:val="32"/>
          <w:szCs w:val="32"/>
        </w:rPr>
      </w:pP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一、概要</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（一）机构概况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楷体_GB2312" w:cs="仿宋_GB2312"/>
          <w:sz w:val="32"/>
          <w:szCs w:val="32"/>
        </w:rPr>
        <w:t>1.</w:t>
      </w:r>
      <w:r>
        <w:rPr>
          <w:rFonts w:ascii="仿宋_GB2312" w:eastAsia="仿宋_GB2312" w:hAnsi="楷体_GB2312" w:cs="仿宋_GB2312" w:hint="eastAsia"/>
          <w:sz w:val="32"/>
          <w:szCs w:val="32"/>
        </w:rPr>
        <w:t>经营情况。</w:t>
      </w:r>
      <w:r>
        <w:rPr>
          <w:rFonts w:ascii="仿宋_GB2312" w:eastAsia="仿宋_GB2312" w:hAnsi="仿宋" w:cs="仿宋_GB2312" w:hint="eastAsia"/>
          <w:sz w:val="32"/>
          <w:szCs w:val="32"/>
        </w:rPr>
        <w:t>机构整体经营情况，包括但不限于最新经营情况</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发展战略</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经营模式</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持有的牌照及主要业务开展情况等。</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组织架构。机构设置和组织架构情况，例如公司治理架构、风险管理架构、股权结构、组织架构图等。</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主要分支机构和子公司情况。各主要分支机构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子公司情况，至少包括主要分支机构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子公司的列表、持股比例、业务经营范围、主要经营情况等。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（二）处置计划建议更新情况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本次处置计划建议更新的主要内容，其他与处置计划建议更新相关的因素（首次制定时不需要）。</w:t>
      </w:r>
    </w:p>
    <w:p w:rsidR="00BF0345" w:rsidRDefault="00CC5F63">
      <w:pPr>
        <w:spacing w:line="640" w:lineRule="exact"/>
        <w:ind w:firstLineChars="200" w:firstLine="640"/>
        <w:rPr>
          <w:rFonts w:ascii="仿宋_GB2312" w:eastAsia="仿宋_GB2312" w:hAnsi="楷体_GB2312"/>
          <w:sz w:val="32"/>
          <w:szCs w:val="32"/>
        </w:rPr>
      </w:pPr>
      <w:r>
        <w:rPr>
          <w:rFonts w:ascii="楷体_GB2312" w:eastAsia="楷体_GB2312" w:hAnsi="楷体_GB2312" w:cs="楷体_GB2312" w:hint="eastAsia"/>
          <w:sz w:val="32"/>
          <w:szCs w:val="32"/>
        </w:rPr>
        <w:t>（三）处置障碍改进情况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处置障碍改进情况，为提升公司治理、风险管理、数据与信息系统等方面所做的主要工作（首次制定时不需要）。</w:t>
      </w: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二、处置计划治理架构</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（一）职责分工</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与处置计划相关的公司治理，包括董事会、高管层、相关部门在处置计划建议的制定、审批、更新和处置计划执行中承担的职责；处置机构的职责；对于区域性金融机构，还应说明地方政府与处置计划公司治理的关系，包括是否有提名和任命公司高级管理人员的权力。</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处置计划建议的</w:t>
      </w:r>
      <w:r>
        <w:rPr>
          <w:rFonts w:ascii="仿宋_GB2312" w:eastAsia="仿宋_GB2312" w:hAnsi="仿宋" w:cs="仿宋_GB2312" w:hint="eastAsia"/>
          <w:sz w:val="32"/>
          <w:szCs w:val="32"/>
        </w:rPr>
        <w:t>制定、审批、更新流程，包括向董事会或高管层报告的路线和频率等；对于区域性金融机构，还应包括与地方政府的汇报路径和沟通形式。</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（二）管理机制</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实施处置计划的管理机制，包括处置计划的目标、配合执行机制等。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（三）问责机制</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对于因相关人员履职不力导致机构进入处置阶段的，以及相关人员执行处置计划不力的，要明确对有关责任人员的问责机制。</w:t>
      </w: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三、关键功能、核心业务和重要实体识别</w:t>
      </w:r>
    </w:p>
    <w:p w:rsidR="00BF0345" w:rsidRDefault="00CC5F63">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识别关键功能、关键共享服务、核心业务条线和重要实体等，对明确银行关键业务，制定适当的恢复措施和处置策略，确保运营连续性，降低恢复或处置措施对市场</w:t>
      </w:r>
      <w:r>
        <w:rPr>
          <w:rFonts w:ascii="仿宋_GB2312" w:eastAsia="仿宋_GB2312" w:hAnsi="楷体_GB2312" w:cs="仿宋_GB2312" w:hint="eastAsia"/>
          <w:sz w:val="32"/>
          <w:szCs w:val="32"/>
        </w:rPr>
        <w:t>的影响，</w:t>
      </w:r>
      <w:r>
        <w:rPr>
          <w:rFonts w:ascii="仿宋_GB2312" w:eastAsia="仿宋_GB2312" w:hAnsi="楷体_GB2312" w:cs="仿宋_GB2312" w:hint="eastAsia"/>
          <w:sz w:val="32"/>
          <w:szCs w:val="32"/>
        </w:rPr>
        <w:lastRenderedPageBreak/>
        <w:t>切实保障金融消费者合法权益</w:t>
      </w:r>
      <w:r>
        <w:rPr>
          <w:rFonts w:ascii="仿宋_GB2312" w:eastAsia="仿宋_GB2312" w:hAnsi="楷体_GB2312" w:cs="仿宋_GB2312"/>
          <w:sz w:val="32"/>
          <w:szCs w:val="32"/>
        </w:rPr>
        <w:t>,</w:t>
      </w:r>
      <w:r>
        <w:rPr>
          <w:rFonts w:ascii="仿宋_GB2312" w:eastAsia="仿宋_GB2312" w:hAnsi="楷体_GB2312" w:cs="仿宋_GB2312" w:hint="eastAsia"/>
          <w:sz w:val="32"/>
          <w:szCs w:val="32"/>
        </w:rPr>
        <w:t>具有重要作用。</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（一）关键功能</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功能是提供给第三方的关键业务或产品等金融服务，当这些金融服务出现突发中断时将带来严重影响，可能引发市场风险传染或恐慌。关键功能在恢复或处置阶段应优先保护，确保持续提供服务，或按计划有序关闭。</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商业银行的主要金融产品和服务至少包括</w:t>
      </w:r>
      <w:r>
        <w:rPr>
          <w:rFonts w:ascii="仿宋_GB2312" w:eastAsia="仿宋_GB2312" w:hAnsi="仿宋" w:cs="仿宋_GB2312"/>
          <w:sz w:val="32"/>
          <w:szCs w:val="32"/>
        </w:rPr>
        <w:t>5</w:t>
      </w:r>
      <w:r>
        <w:rPr>
          <w:rFonts w:ascii="仿宋_GB2312" w:eastAsia="仿宋_GB2312" w:hAnsi="仿宋" w:cs="仿宋_GB2312" w:hint="eastAsia"/>
          <w:sz w:val="32"/>
          <w:szCs w:val="32"/>
        </w:rPr>
        <w:t>个方面：</w:t>
      </w:r>
      <w:r>
        <w:rPr>
          <w:rFonts w:ascii="仿宋_GB2312" w:eastAsia="仿宋_GB2312" w:hAnsi="仿宋" w:cs="仿宋_GB2312"/>
          <w:sz w:val="32"/>
          <w:szCs w:val="32"/>
        </w:rPr>
        <w:t>1.</w:t>
      </w:r>
      <w:r>
        <w:rPr>
          <w:rFonts w:ascii="仿宋_GB2312" w:eastAsia="仿宋_GB2312" w:hAnsi="仿宋" w:cs="仿宋_GB2312" w:hint="eastAsia"/>
          <w:sz w:val="32"/>
          <w:szCs w:val="32"/>
        </w:rPr>
        <w:t>存款；</w:t>
      </w:r>
      <w:r>
        <w:rPr>
          <w:rFonts w:ascii="仿宋_GB2312" w:eastAsia="仿宋_GB2312" w:hAnsi="仿宋" w:cs="仿宋_GB2312"/>
          <w:sz w:val="32"/>
          <w:szCs w:val="32"/>
        </w:rPr>
        <w:t>2.</w:t>
      </w:r>
      <w:r>
        <w:rPr>
          <w:rFonts w:ascii="仿宋_GB2312" w:eastAsia="仿宋_GB2312" w:hAnsi="仿宋" w:cs="仿宋_GB2312" w:hint="eastAsia"/>
          <w:sz w:val="32"/>
          <w:szCs w:val="32"/>
        </w:rPr>
        <w:t>贷款；</w:t>
      </w:r>
      <w:r>
        <w:rPr>
          <w:rFonts w:ascii="仿宋_GB2312" w:eastAsia="仿宋_GB2312" w:hAnsi="仿宋" w:cs="仿宋_GB2312"/>
          <w:sz w:val="32"/>
          <w:szCs w:val="32"/>
        </w:rPr>
        <w:t>3.</w:t>
      </w:r>
      <w:r>
        <w:rPr>
          <w:rFonts w:ascii="仿宋_GB2312" w:eastAsia="仿宋_GB2312" w:hAnsi="仿宋" w:cs="仿宋_GB2312" w:hint="eastAsia"/>
          <w:sz w:val="32"/>
          <w:szCs w:val="32"/>
        </w:rPr>
        <w:t>支付清算托管与结算；</w:t>
      </w:r>
      <w:r>
        <w:rPr>
          <w:rFonts w:ascii="仿宋_GB2312" w:eastAsia="仿宋_GB2312" w:hAnsi="仿宋" w:cs="仿宋_GB2312"/>
          <w:sz w:val="32"/>
          <w:szCs w:val="32"/>
        </w:rPr>
        <w:t>4.</w:t>
      </w:r>
      <w:r>
        <w:rPr>
          <w:rFonts w:ascii="仿宋_GB2312" w:eastAsia="仿宋_GB2312" w:hAnsi="仿宋" w:cs="仿宋_GB2312" w:hint="eastAsia"/>
          <w:sz w:val="32"/>
          <w:szCs w:val="32"/>
        </w:rPr>
        <w:t>同业融资；</w:t>
      </w:r>
      <w:r>
        <w:rPr>
          <w:rFonts w:ascii="仿宋_GB2312" w:eastAsia="仿宋_GB2312" w:hAnsi="仿宋" w:cs="仿宋_GB2312"/>
          <w:sz w:val="32"/>
          <w:szCs w:val="32"/>
        </w:rPr>
        <w:t>5.</w:t>
      </w:r>
      <w:r>
        <w:rPr>
          <w:rFonts w:ascii="仿宋_GB2312" w:eastAsia="仿宋_GB2312" w:hAnsi="仿宋" w:cs="仿宋_GB2312" w:hint="eastAsia"/>
          <w:sz w:val="32"/>
          <w:szCs w:val="32"/>
        </w:rPr>
        <w:t>资本市场与投资活动（包括但不限于债券投资、特殊目的载体投资、理财产品、承销、衍生金融产品交易、资金交易等）。商业银行可以根据自身业务开展情况，对以上产品和服务再进行细分，例如，存款可以分为个人存款和公司存款。</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商业银行可基于自身提供的金融产品和服务，综合考虑规模</w:t>
      </w:r>
      <w:r>
        <w:rPr>
          <w:rFonts w:ascii="仿宋_GB2312" w:eastAsia="仿宋_GB2312" w:hAnsi="仿宋" w:cs="仿宋_GB2312"/>
          <w:sz w:val="32"/>
          <w:szCs w:val="32"/>
        </w:rPr>
        <w:t>/</w:t>
      </w:r>
      <w:r>
        <w:rPr>
          <w:rFonts w:ascii="仿宋_GB2312" w:eastAsia="仿宋_GB2312" w:hAnsi="仿宋" w:cs="仿宋_GB2312" w:hint="eastAsia"/>
          <w:sz w:val="32"/>
          <w:szCs w:val="32"/>
        </w:rPr>
        <w:t>余额、客户数、市场影响、可替代性等因素，识别关键功能。</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（二）关键共享服务</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关键共享服务是由机构内部或外包提供，用于实现关键功能的服务，并由多个法律实体或业务条线共享。</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关键共享服务应具备以下三个要素：该服务由集团内部机构、集团内部独立法律实体或第</w:t>
      </w:r>
      <w:r>
        <w:rPr>
          <w:rFonts w:ascii="仿宋_GB2312" w:eastAsia="仿宋_GB2312" w:hAnsi="仿宋" w:cs="仿宋_GB2312" w:hint="eastAsia"/>
          <w:sz w:val="32"/>
          <w:szCs w:val="32"/>
        </w:rPr>
        <w:t>三方机构提供；服务对象是集团内部承担关键功能的业务单元或法律实体；服务突然</w:t>
      </w:r>
      <w:r>
        <w:rPr>
          <w:rFonts w:ascii="仿宋_GB2312" w:eastAsia="仿宋_GB2312" w:hAnsi="仿宋" w:cs="仿宋_GB2312" w:hint="eastAsia"/>
          <w:sz w:val="32"/>
          <w:szCs w:val="32"/>
        </w:rPr>
        <w:lastRenderedPageBreak/>
        <w:t>中止或无序关闭会对集团关键功能造成重大影响。</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的共享服务包括与金融相关的服务和与运营相关的服务。金融相关服务包括资产负债管理、风险管理和估值、交易及资产管理、会计处理等；运营相关服务包括人力资源支持、信息技术、交易处理、不动产管理、法律及合规服务等。</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商业银行可梳理自身的共享服务，通过建立共享服务与关键功能的对应关系，评估影响严重程度，识别本机构的关键共享服务。</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（三）核心业务条线</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核心业务条线在经营失败时，可能导致机构收入、</w:t>
      </w:r>
      <w:r>
        <w:rPr>
          <w:rFonts w:ascii="仿宋_GB2312" w:eastAsia="仿宋_GB2312" w:hAnsi="仿宋" w:cs="仿宋_GB2312" w:hint="eastAsia"/>
          <w:sz w:val="32"/>
          <w:szCs w:val="32"/>
        </w:rPr>
        <w:t>利润和特许经营权价值受到重大损失。识别核心业务条线，有利于明确本机构盈利来源和牌照价值。</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商业银行可根据自身业务开展情况，确定业务条线的分类，并结合各业务条线的资产、负债、收入、利润或其他影响机构价值的因素，识别核心业务条线。</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（四）重要实体</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重要实体承载本机构核心业务条线和关键功能，对持续经营、维持关键功能具有重要作用。在恢复或处置阶段，应对重要实体的存续安排予以特别关注。</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商业银行可根据实体情况，结合资产、收入、净利润、</w:t>
      </w:r>
      <w:r>
        <w:rPr>
          <w:rFonts w:ascii="仿宋_GB2312" w:eastAsia="仿宋_GB2312" w:hAnsi="仿宋" w:cs="仿宋_GB2312" w:hint="eastAsia"/>
          <w:sz w:val="32"/>
          <w:szCs w:val="32"/>
        </w:rPr>
        <w:lastRenderedPageBreak/>
        <w:t>风险加权资产占比，以及是否承担关键功能、监管部门是否直接认定实体的重要性等因素，识别</w:t>
      </w:r>
      <w:r>
        <w:rPr>
          <w:rFonts w:ascii="仿宋_GB2312" w:eastAsia="仿宋_GB2312" w:hAnsi="仿宋" w:cs="仿宋_GB2312" w:hint="eastAsia"/>
          <w:sz w:val="32"/>
          <w:szCs w:val="32"/>
        </w:rPr>
        <w:t>本机构的重要实体。对识别出的重要实体，参照第一部分的要求，说明重要实体的具体情况。</w:t>
      </w: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四、处置计划实施所需信息和数据</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（一）资产质量</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分析整体资产质量情况，包括但不限于贷款五级分类情况</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潜在风险资产情况</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大额不良贷款或风险资产情况。对于五级分类不准确的机构，还应分析表内外实质不良资产情况，按实质不良资产还原计算的拨备覆盖率、资本充足率、资本缺口等情况。</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（二）股东股权及关联交易情况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主要股东及其关联方、一致行动人按合并口径计算的入股情况，关联交易情况，派驻关键岗位人员情况，质押股权情况，参股其他金融机构情况。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联交易的相关数据和信息，并详细说明机构与股东之间的资金往来情况，包括但不限于向股东拆借资金，通过股东开展投资活动，为股东开具没有真实交易背景的承兑汇票，代股东偿还债务，为股东垫付费用，为股东承担其他成本</w:t>
      </w:r>
      <w:r>
        <w:rPr>
          <w:rFonts w:ascii="仿宋_GB2312" w:eastAsia="仿宋_GB2312" w:hAnsi="仿宋" w:cs="仿宋_GB2312"/>
          <w:sz w:val="32"/>
          <w:szCs w:val="32"/>
        </w:rPr>
        <w:t>,</w:t>
      </w:r>
      <w:r>
        <w:rPr>
          <w:rFonts w:ascii="仿宋_GB2312" w:eastAsia="仿宋_GB2312" w:hAnsi="仿宋" w:cs="仿宋_GB2312" w:hint="eastAsia"/>
          <w:sz w:val="32"/>
          <w:szCs w:val="32"/>
        </w:rPr>
        <w:t>其他监管部门认定的股东占款行为等。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（三）内部交易情况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lastRenderedPageBreak/>
        <w:t>1.</w:t>
      </w:r>
      <w:r>
        <w:rPr>
          <w:rFonts w:ascii="仿宋_GB2312" w:eastAsia="仿宋_GB2312" w:hAnsi="仿宋" w:cs="仿宋_GB2312" w:hint="eastAsia"/>
          <w:sz w:val="32"/>
          <w:szCs w:val="32"/>
        </w:rPr>
        <w:t>机构主要内部交易的相关统计数据和信息，可以从交易类型、交易主体等方面分析说明。</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机构内部的债权债务，资本、资金和流动性往来情况。</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（四）大额风险暴露和同业融入情况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对主要同业客户的风险暴露情况，参考大额风险暴露的相关统计要求（大额风险暴露是指商业银行对单一客户或一组关联客户超过其一级资本净额</w:t>
      </w:r>
      <w:r>
        <w:rPr>
          <w:rFonts w:ascii="仿宋_GB2312" w:eastAsia="仿宋_GB2312" w:hAnsi="仿宋" w:cs="仿宋_GB2312"/>
          <w:sz w:val="32"/>
          <w:szCs w:val="32"/>
        </w:rPr>
        <w:t>2.5%</w:t>
      </w:r>
      <w:r>
        <w:rPr>
          <w:rFonts w:ascii="仿宋_GB2312" w:eastAsia="仿宋_GB2312" w:hAnsi="仿宋" w:cs="仿宋_GB2312" w:hint="eastAsia"/>
          <w:sz w:val="32"/>
          <w:szCs w:val="32"/>
        </w:rPr>
        <w:t>的风险暴露），包括一般风险暴露、特定风险暴露、交易账簿风险暴露、交易对手风险暴露、潜在风险暴露等，并按照主要交易对手列示数据信息。</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从主要同业交易对手融入资金情况，包括同业拆放、同业存放、卖出回购等。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（五）存款情况</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存款整体情况，并按照不同存款金额统计相应客户总数，尤其是大额存款客户数，例如，对个人客户按照存款金额区间段统计个人客户总数和总金额等。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（六）表外业务</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表外业务情况，包括担保、承诺、非保本理财产品、代理代销、资产托管、委托贷款等。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（七）管理信息系统</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1.</w:t>
      </w:r>
      <w:r>
        <w:rPr>
          <w:rFonts w:ascii="楷体_GB2312" w:eastAsia="楷体_GB2312" w:hAnsi="楷体_GB2312" w:cs="楷体_GB2312" w:hint="eastAsia"/>
          <w:sz w:val="32"/>
          <w:szCs w:val="32"/>
        </w:rPr>
        <w:t>管理信息系统</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使用的主要管理信息系统，包括但不限于风险管理、会计处理、资产负债、监管报告等。</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sz w:val="32"/>
          <w:szCs w:val="32"/>
        </w:rPr>
        <w:t>2.</w:t>
      </w:r>
      <w:r>
        <w:rPr>
          <w:rFonts w:ascii="楷体_GB2312" w:eastAsia="楷体_GB2312" w:hAnsi="楷体_GB2312" w:cs="楷体_GB2312" w:hint="eastAsia"/>
          <w:sz w:val="32"/>
          <w:szCs w:val="32"/>
        </w:rPr>
        <w:t>数据提供能力</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根据数据和系统管理情况，说明管理信息系统对处置中的各项数据收集、资产负债估值的支持能力和数据来源。</w:t>
      </w: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五、处置计划的实施</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（一）实施方案</w:t>
      </w:r>
    </w:p>
    <w:p w:rsidR="00BF0345" w:rsidRDefault="00CC5F63">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Pr>
          <w:rFonts w:ascii="仿宋_GB2312" w:eastAsia="仿宋_GB2312" w:hAnsi="仿宋" w:cs="仿宋_GB2312" w:hint="eastAsia"/>
          <w:sz w:val="32"/>
          <w:szCs w:val="32"/>
        </w:rPr>
        <w:t>处置策略</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结合我国处置实践，根据机构自身实际，说明可能使本机构无法持续经营、建议进入处置的启动条件，提出建议的处置策略和实施步骤，以及退出处置计划的条件。在</w:t>
      </w:r>
      <w:r>
        <w:rPr>
          <w:rFonts w:ascii="仿宋_GB2312" w:eastAsia="仿宋_GB2312" w:hAnsi="仿宋" w:cs="仿宋_GB2312" w:hint="eastAsia"/>
          <w:sz w:val="32"/>
          <w:szCs w:val="32"/>
        </w:rPr>
        <w:t>提出建议的处置策略时，应说明选择处置工具的主要依据和理由、处置工具的可行性和适用性及建议的实施步骤。策略建议中可以选择应用多种处置工具，应坚持自救为本的基本原则。可参考的处置工具包括但不限于机构自救，股东注资，引入战略投资者，处置不良资产，处置非核心业务，接管，收购承接，建立过桥机构，转移不良资产或其他资产至资产管理公司，行业保障基金救助，暂时国有化（政府注资），财务重组，兼并重组，撤销关闭、破产清算等。</w:t>
      </w:r>
    </w:p>
    <w:p w:rsidR="00BF0345" w:rsidRDefault="00CC5F63">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cs="仿宋_GB2312" w:hint="eastAsia"/>
          <w:sz w:val="32"/>
          <w:szCs w:val="32"/>
        </w:rPr>
        <w:t>时间表</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提出处置预期时间表</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处置的主要步骤以及预估处置实施方案中完成各项工作所需要花费的时间。</w:t>
      </w:r>
    </w:p>
    <w:p w:rsidR="00BF0345" w:rsidRDefault="00CC5F63">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对关键运营连续性的影响</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处置过程中对关键功能、</w:t>
      </w:r>
      <w:r>
        <w:rPr>
          <w:rFonts w:ascii="仿宋_GB2312" w:eastAsia="仿宋_GB2312" w:hAnsi="仿宋" w:cs="仿宋_GB2312" w:hint="eastAsia"/>
          <w:sz w:val="32"/>
          <w:szCs w:val="32"/>
        </w:rPr>
        <w:lastRenderedPageBreak/>
        <w:t>重要实体的影响，处置策略是否确保关键运营连续性。</w:t>
      </w:r>
    </w:p>
    <w:p w:rsidR="00BF0345" w:rsidRDefault="00CC5F63">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Pr>
          <w:rFonts w:ascii="仿宋_GB2312" w:eastAsia="仿宋_GB2312" w:hAnsi="仿宋" w:cs="仿宋_GB2312" w:hint="eastAsia"/>
          <w:sz w:val="32"/>
          <w:szCs w:val="32"/>
        </w:rPr>
        <w:t>实施责任</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在处置计划实施中，董事会、高管层应承担的主体责任；股东如何落实救助责任；对于区域性金融机构，还应说明实施处置计划时，对地方政府作为股东及履行属地风险处置职责的建议。</w:t>
      </w:r>
    </w:p>
    <w:p w:rsidR="00BF0345" w:rsidRDefault="00CC5F63">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Pr>
          <w:rFonts w:ascii="仿宋_GB2312" w:eastAsia="仿宋_GB2312" w:hAnsi="仿宋" w:cs="仿宋_GB2312" w:hint="eastAsia"/>
          <w:sz w:val="32"/>
          <w:szCs w:val="32"/>
        </w:rPr>
        <w:t>与境外处置计划的关系</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如本机构有境外分支机构，应说明集团处置计划与境外处置计划的关系。如本机构为外资机构在华分支机构，应说明本机构处置计划与集团处置计划的关系。</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（二）资金来源</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分析在处置计划实施过程中，处置资金主要来源及使用条件，说明处置各阶段如何使用处置资金。</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资金使用上，应以使用金融机构自有资产或市场化渠道筹集资金开展自救为原则。例如，自救资金，包括机构的自有资金或资产变现，处置股东的股权（如以股抵债、核销股权、缩股、参与破产承担损失），资本工具减记或转股，非资本</w:t>
      </w:r>
      <w:r>
        <w:rPr>
          <w:rFonts w:ascii="仿宋_GB2312" w:eastAsia="仿宋_GB2312" w:hAnsi="仿宋" w:cs="仿宋_GB2312"/>
          <w:sz w:val="32"/>
          <w:szCs w:val="32"/>
        </w:rPr>
        <w:t>TLAC</w:t>
      </w:r>
      <w:r>
        <w:rPr>
          <w:rFonts w:ascii="仿宋_GB2312" w:eastAsia="仿宋_GB2312" w:hAnsi="仿宋" w:cs="仿宋_GB2312" w:hint="eastAsia"/>
          <w:sz w:val="32"/>
          <w:szCs w:val="32"/>
        </w:rPr>
        <w:t>债务工具减记或转股，债权转为股权等；注资资金，包括原有股东注资资金，第三方机构参与处置时投入的股权资金，引入战略投资资金等。</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使用自有资金可能无法化解风险的，可以运用相应行业保障基金资金提供流动性支持或救助</w:t>
      </w:r>
      <w:r>
        <w:rPr>
          <w:rFonts w:ascii="仿宋_GB2312" w:eastAsia="仿宋_GB2312" w:hAnsi="仿宋" w:cs="仿宋_GB2312" w:hint="eastAsia"/>
          <w:sz w:val="32"/>
          <w:szCs w:val="32"/>
        </w:rPr>
        <w:t>。</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上述措施均无法化解风险，在可能引发区域性与系统性风险、危及金融体系稳定时，如需运用地方政府所筹措资金、人民银行再贷款资金、存款保险基金资金或其他可以使用的资金，应明确说明使用这些资金应具备的条件，包括但不限于有关法律法规的规定要求、内外部审批程序等，防范道德风险。</w:t>
      </w:r>
    </w:p>
    <w:p w:rsidR="00BF0345" w:rsidRDefault="00CC5F63">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（三）实施处置计划的影响及金融消费者权益保护方案</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分析处置实施的各方面影响，包括但不限于对机构自身的影响，对交易对手的影响，对同类型金融机构及其他第三方的影响，对金融基础服务以及金融消费者合法权益保护的影响，对宏观经济金融稳定、尤其是本地金融</w:t>
      </w:r>
      <w:r>
        <w:rPr>
          <w:rFonts w:ascii="仿宋_GB2312" w:eastAsia="仿宋_GB2312" w:hAnsi="仿宋" w:cs="仿宋_GB2312" w:hint="eastAsia"/>
          <w:sz w:val="32"/>
          <w:szCs w:val="32"/>
        </w:rPr>
        <w:t>稳定的影响，并做好应对安排。</w:t>
      </w: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六、沟通策略</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在处置计划实施过程中，如何与监管部门、地方政府、股东、客户、员工和社会公众等开展有效沟通，维持正常经营秩序，防范区域性与系统性风险和其他不利于处置的事件，降低处置的影响，提高处置可行性。</w:t>
      </w:r>
    </w:p>
    <w:p w:rsidR="00BF0345" w:rsidRDefault="00CC5F63">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七、执行障碍和改进建议</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在处置计划执行中可能遇到的障碍，既包括机构内部因素导致的障碍，例如关联方众多、关联交易复杂、信息系统支持能力不足、缺乏执行经验等；也包括外部政策、经济环</w:t>
      </w:r>
      <w:r>
        <w:rPr>
          <w:rFonts w:ascii="仿宋_GB2312" w:eastAsia="仿宋_GB2312" w:hAnsi="仿宋" w:cs="仿宋_GB2312" w:hint="eastAsia"/>
          <w:sz w:val="32"/>
          <w:szCs w:val="32"/>
        </w:rPr>
        <w:lastRenderedPageBreak/>
        <w:t>境可能带来的障碍。改进建议可以包括提高机构可处置性的建议，也可以包括对外部处置机制建设、国家和地方政策支</w:t>
      </w:r>
      <w:r>
        <w:rPr>
          <w:rFonts w:ascii="仿宋_GB2312" w:eastAsia="仿宋_GB2312" w:hAnsi="仿宋" w:cs="仿宋_GB2312" w:hint="eastAsia"/>
          <w:sz w:val="32"/>
          <w:szCs w:val="32"/>
        </w:rPr>
        <w:t>持等方面的建议。</w:t>
      </w:r>
    </w:p>
    <w:p w:rsidR="00BF0345" w:rsidRDefault="00CC5F63">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以上示例内容主要以商业银行为例，关于关键功能、处置计划实施所需信息和数据等相关内容，各机构可结合业务开展情况及监管要求，参考示例中的要素，对分析内容进行必要的调整，以适应其经营情况。</w:t>
      </w:r>
    </w:p>
    <w:p w:rsidR="00BF0345" w:rsidRDefault="00BF0345">
      <w:pPr>
        <w:spacing w:line="640" w:lineRule="exact"/>
      </w:pPr>
    </w:p>
    <w:sectPr w:rsidR="00BF0345" w:rsidSect="00BF0345">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F63" w:rsidRDefault="00CC5F63" w:rsidP="00BF0345">
      <w:r>
        <w:separator/>
      </w:r>
    </w:p>
  </w:endnote>
  <w:endnote w:type="continuationSeparator" w:id="0">
    <w:p w:rsidR="00CC5F63" w:rsidRDefault="00CC5F63" w:rsidP="00BF0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5" w:rsidRDefault="00BF0345">
    <w:pPr>
      <w:pStyle w:val="a3"/>
    </w:pPr>
    <w:r>
      <w:pict>
        <v:shapetype id="_x0000_t202" coordsize="21600,21600" o:spt="202" path="m,l,21600r21600,l21600,xe">
          <v:stroke joinstyle="miter"/>
          <v:path gradientshapeok="t" o:connecttype="rect"/>
        </v:shapetype>
        <v:shape id="_x0000_s1026" type="#_x0000_t202" style="position:absolute;margin-left:0;margin-top:.05pt;width:9.05pt;height:10.35pt;z-index:251658240;mso-wrap-style:none;mso-position-horizontal:center;mso-position-horizontal-relative:margin"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filled="f" stroked="f">
          <v:textbox style="mso-fit-shape-to-text:t" inset="0,0,0,0">
            <w:txbxContent>
              <w:p w:rsidR="00BF0345" w:rsidRDefault="00BF0345">
                <w:pPr>
                  <w:pStyle w:val="a3"/>
                  <w:rPr>
                    <w:rStyle w:val="a4"/>
                    <w:rFonts w:ascii="宋体" w:hAnsi="宋体" w:cs="宋体"/>
                    <w:sz w:val="28"/>
                    <w:szCs w:val="28"/>
                  </w:rPr>
                </w:pPr>
                <w:r>
                  <w:rPr>
                    <w:rFonts w:ascii="宋体" w:hAnsi="宋体" w:cs="宋体" w:hint="eastAsia"/>
                    <w:sz w:val="28"/>
                    <w:szCs w:val="28"/>
                  </w:rPr>
                  <w:fldChar w:fldCharType="begin"/>
                </w:r>
                <w:r w:rsidR="00CC5F63">
                  <w:rPr>
                    <w:rStyle w:val="a4"/>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620072" w:rsidRPr="00620072">
                  <w:rPr>
                    <w:noProof/>
                  </w:rPr>
                  <w:t>-</w:t>
                </w:r>
                <w:r w:rsidR="00620072">
                  <w:rPr>
                    <w:rStyle w:val="a4"/>
                    <w:rFonts w:ascii="宋体" w:hAnsi="宋体" w:cs="宋体"/>
                    <w:noProof/>
                    <w:sz w:val="28"/>
                    <w:szCs w:val="28"/>
                  </w:rPr>
                  <w:t xml:space="preserve">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F63" w:rsidRDefault="00CC5F63" w:rsidP="00BF0345">
      <w:r>
        <w:separator/>
      </w:r>
    </w:p>
  </w:footnote>
  <w:footnote w:type="continuationSeparator" w:id="0">
    <w:p w:rsidR="00CC5F63" w:rsidRDefault="00CC5F63" w:rsidP="00BF03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345"/>
    <w:rsid w:val="00620072"/>
    <w:rsid w:val="00BF0345"/>
    <w:rsid w:val="00CC5F63"/>
    <w:rsid w:val="02AF48BC"/>
    <w:rsid w:val="6BE45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3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345"/>
    <w:pPr>
      <w:tabs>
        <w:tab w:val="center" w:pos="4153"/>
        <w:tab w:val="right" w:pos="8306"/>
      </w:tabs>
      <w:snapToGrid w:val="0"/>
      <w:jc w:val="left"/>
    </w:pPr>
    <w:rPr>
      <w:sz w:val="18"/>
      <w:szCs w:val="18"/>
    </w:rPr>
  </w:style>
  <w:style w:type="character" w:styleId="a4">
    <w:name w:val="page number"/>
    <w:basedOn w:val="a0"/>
    <w:rsid w:val="00BF0345"/>
  </w:style>
  <w:style w:type="paragraph" w:styleId="a5">
    <w:name w:val="header"/>
    <w:basedOn w:val="a"/>
    <w:link w:val="Char"/>
    <w:rsid w:val="00620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2007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601</Words>
  <Characters>3426</Characters>
  <Application>Microsoft Office Word</Application>
  <DocSecurity>0</DocSecurity>
  <Lines>28</Lines>
  <Paragraphs>8</Paragraphs>
  <ScaleCrop>false</ScaleCrop>
  <Company>LENOVO</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xubinxin</cp:lastModifiedBy>
  <cp:revision>2</cp:revision>
  <dcterms:created xsi:type="dcterms:W3CDTF">2021-06-10T02:42:00Z</dcterms:created>
  <dcterms:modified xsi:type="dcterms:W3CDTF">2021-06-10T02:42:00Z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